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7E71E" w14:textId="08428200" w:rsidR="008E3501" w:rsidRPr="00D006E5" w:rsidRDefault="00D006E5" w:rsidP="00D006E5">
      <w:pPr>
        <w:spacing w:after="60"/>
        <w:jc w:val="center"/>
        <w:rPr>
          <w:rFonts w:ascii="Arial" w:eastAsia="Times New Roman" w:hAnsi="Arial" w:cs="Arial"/>
          <w:b/>
          <w:sz w:val="20"/>
          <w:szCs w:val="20"/>
        </w:rPr>
      </w:pPr>
      <w:r>
        <w:rPr>
          <w:rFonts w:ascii="Arial" w:eastAsia="Times New Roman" w:hAnsi="Arial" w:cs="Arial"/>
          <w:b/>
          <w:sz w:val="20"/>
          <w:szCs w:val="20"/>
        </w:rPr>
        <w:t>Quelqu</w:t>
      </w:r>
      <w:r w:rsidR="00796487">
        <w:rPr>
          <w:rFonts w:ascii="Arial" w:eastAsia="Times New Roman" w:hAnsi="Arial" w:cs="Arial"/>
          <w:b/>
          <w:sz w:val="20"/>
          <w:szCs w:val="20"/>
        </w:rPr>
        <w:t>es réflexions sur</w:t>
      </w:r>
      <w:r w:rsidRPr="00D006E5">
        <w:rPr>
          <w:rFonts w:ascii="Arial" w:eastAsia="Times New Roman" w:hAnsi="Arial" w:cs="Arial"/>
          <w:b/>
          <w:sz w:val="20"/>
          <w:szCs w:val="20"/>
        </w:rPr>
        <w:t xml:space="preserve"> l’a</w:t>
      </w:r>
      <w:r w:rsidR="008E3501" w:rsidRPr="00D006E5">
        <w:rPr>
          <w:rFonts w:ascii="Arial" w:eastAsia="Times New Roman" w:hAnsi="Arial" w:cs="Arial"/>
          <w:b/>
          <w:sz w:val="20"/>
          <w:szCs w:val="20"/>
        </w:rPr>
        <w:t>ttractivité des mathématiques</w:t>
      </w:r>
    </w:p>
    <w:p w14:paraId="7D7A4B74" w14:textId="7A81F1BE" w:rsidR="008E3501" w:rsidRPr="00796487" w:rsidRDefault="00796487" w:rsidP="00796487">
      <w:pPr>
        <w:spacing w:after="60"/>
        <w:jc w:val="right"/>
        <w:rPr>
          <w:rFonts w:ascii="Arial" w:eastAsia="Times New Roman" w:hAnsi="Arial" w:cs="Arial"/>
          <w:i/>
          <w:sz w:val="20"/>
          <w:szCs w:val="20"/>
        </w:rPr>
      </w:pPr>
      <w:r w:rsidRPr="00796487">
        <w:rPr>
          <w:rFonts w:ascii="Arial" w:eastAsia="Times New Roman" w:hAnsi="Arial" w:cs="Arial"/>
          <w:i/>
          <w:sz w:val="20"/>
          <w:szCs w:val="20"/>
        </w:rPr>
        <w:t>Michèle Artigue, le 4 décembre 2013</w:t>
      </w:r>
    </w:p>
    <w:p w14:paraId="0FDEA782" w14:textId="7D429990" w:rsidR="00796487" w:rsidRPr="00796487" w:rsidRDefault="00796487" w:rsidP="004524DE">
      <w:pPr>
        <w:spacing w:before="200" w:after="60"/>
        <w:jc w:val="both"/>
        <w:rPr>
          <w:rFonts w:ascii="Arial" w:eastAsia="Times New Roman" w:hAnsi="Arial" w:cs="Arial"/>
          <w:i/>
          <w:sz w:val="20"/>
          <w:szCs w:val="20"/>
        </w:rPr>
      </w:pPr>
      <w:r w:rsidRPr="00796487">
        <w:rPr>
          <w:rFonts w:ascii="Arial" w:eastAsia="Times New Roman" w:hAnsi="Arial" w:cs="Arial"/>
          <w:i/>
          <w:sz w:val="20"/>
          <w:szCs w:val="20"/>
        </w:rPr>
        <w:t>Ce texte a été écrit en introduction à l’une des rencontres que l’Inspection générale de mathématiques</w:t>
      </w:r>
      <w:r>
        <w:rPr>
          <w:rFonts w:ascii="Arial" w:eastAsia="Times New Roman" w:hAnsi="Arial" w:cs="Arial"/>
          <w:i/>
          <w:sz w:val="20"/>
          <w:szCs w:val="20"/>
        </w:rPr>
        <w:t xml:space="preserve"> </w:t>
      </w:r>
      <w:r w:rsidR="003E453D">
        <w:rPr>
          <w:rFonts w:ascii="Arial" w:eastAsia="Times New Roman" w:hAnsi="Arial" w:cs="Arial"/>
          <w:i/>
          <w:sz w:val="20"/>
          <w:szCs w:val="20"/>
        </w:rPr>
        <w:t xml:space="preserve">a </w:t>
      </w:r>
      <w:r w:rsidRPr="00796487">
        <w:rPr>
          <w:rFonts w:ascii="Arial" w:eastAsia="Times New Roman" w:hAnsi="Arial" w:cs="Arial"/>
          <w:i/>
          <w:sz w:val="20"/>
          <w:szCs w:val="20"/>
        </w:rPr>
        <w:t xml:space="preserve">organisées, avec l’ensemble des composantes </w:t>
      </w:r>
      <w:r>
        <w:rPr>
          <w:rFonts w:ascii="Arial" w:eastAsia="Times New Roman" w:hAnsi="Arial" w:cs="Arial"/>
          <w:i/>
          <w:sz w:val="20"/>
          <w:szCs w:val="20"/>
        </w:rPr>
        <w:t>de la CFEM, sur le thème de l’attractivité des mathématiques.</w:t>
      </w:r>
    </w:p>
    <w:p w14:paraId="57AD8E03" w14:textId="7450ABEE" w:rsidR="003F4D68" w:rsidRPr="00796487" w:rsidRDefault="003F4D68" w:rsidP="00796487">
      <w:pPr>
        <w:spacing w:before="200" w:after="60"/>
        <w:jc w:val="both"/>
        <w:rPr>
          <w:rFonts w:ascii="Arial" w:eastAsia="Times New Roman" w:hAnsi="Arial" w:cs="Arial"/>
          <w:b/>
          <w:sz w:val="20"/>
          <w:szCs w:val="20"/>
        </w:rPr>
      </w:pPr>
      <w:r w:rsidRPr="00796487">
        <w:rPr>
          <w:rFonts w:ascii="Arial" w:eastAsia="Times New Roman" w:hAnsi="Arial" w:cs="Arial"/>
          <w:b/>
          <w:sz w:val="20"/>
          <w:szCs w:val="20"/>
        </w:rPr>
        <w:t>L’entrée par</w:t>
      </w:r>
      <w:r w:rsidR="00796487">
        <w:rPr>
          <w:rFonts w:ascii="Arial" w:eastAsia="Times New Roman" w:hAnsi="Arial" w:cs="Arial"/>
          <w:b/>
          <w:sz w:val="20"/>
          <w:szCs w:val="20"/>
        </w:rPr>
        <w:t xml:space="preserve"> la question de l’attractivité</w:t>
      </w:r>
    </w:p>
    <w:p w14:paraId="382DE015" w14:textId="25F64CD5" w:rsidR="00D417A1" w:rsidRPr="00D006E5" w:rsidRDefault="00D145ED" w:rsidP="00D006E5">
      <w:pPr>
        <w:spacing w:after="60"/>
        <w:jc w:val="both"/>
        <w:rPr>
          <w:rFonts w:ascii="Arial" w:eastAsia="Times New Roman" w:hAnsi="Arial" w:cs="Arial"/>
          <w:sz w:val="20"/>
          <w:szCs w:val="20"/>
        </w:rPr>
      </w:pPr>
      <w:r w:rsidRPr="00D006E5">
        <w:rPr>
          <w:rFonts w:ascii="Arial" w:eastAsia="Times New Roman" w:hAnsi="Arial" w:cs="Arial"/>
          <w:sz w:val="20"/>
          <w:szCs w:val="20"/>
        </w:rPr>
        <w:t>Il me semble important de p</w:t>
      </w:r>
      <w:r w:rsidR="00966C9B" w:rsidRPr="00D006E5">
        <w:rPr>
          <w:rFonts w:ascii="Arial" w:eastAsia="Times New Roman" w:hAnsi="Arial" w:cs="Arial"/>
          <w:sz w:val="20"/>
          <w:szCs w:val="20"/>
        </w:rPr>
        <w:t>ointer</w:t>
      </w:r>
      <w:r w:rsidR="00C32369" w:rsidRPr="00D006E5">
        <w:rPr>
          <w:rFonts w:ascii="Arial" w:eastAsia="Times New Roman" w:hAnsi="Arial" w:cs="Arial"/>
          <w:sz w:val="20"/>
          <w:szCs w:val="20"/>
        </w:rPr>
        <w:t>, en accord avec tous ceux qui se sont exprimés jusqu’ici,</w:t>
      </w:r>
      <w:r w:rsidR="00966C9B" w:rsidRPr="00D006E5">
        <w:rPr>
          <w:rFonts w:ascii="Arial" w:eastAsia="Times New Roman" w:hAnsi="Arial" w:cs="Arial"/>
          <w:sz w:val="20"/>
          <w:szCs w:val="20"/>
        </w:rPr>
        <w:t xml:space="preserve"> les limites d’une entrée par l’attractivité des mathématiques pour aborder les problèmes complexes qui sont ceux de l’enseignement des mathématiques. </w:t>
      </w:r>
      <w:r w:rsidR="009E7917" w:rsidRPr="00D006E5">
        <w:rPr>
          <w:rFonts w:ascii="Arial" w:eastAsia="Times New Roman" w:hAnsi="Arial" w:cs="Arial"/>
          <w:sz w:val="20"/>
          <w:szCs w:val="20"/>
        </w:rPr>
        <w:t>D’une part, contrairement à ce que laisse supposer le titre du film « </w:t>
      </w:r>
      <w:hyperlink r:id="rId8" w:history="1">
        <w:r w:rsidR="009E7917" w:rsidRPr="00796487">
          <w:rPr>
            <w:rStyle w:val="Lienhypertexte"/>
            <w:rFonts w:ascii="Arial" w:eastAsia="Times New Roman" w:hAnsi="Arial" w:cs="Arial"/>
            <w:sz w:val="20"/>
            <w:szCs w:val="20"/>
          </w:rPr>
          <w:t>Comment j’ai détesté les mathématiques </w:t>
        </w:r>
      </w:hyperlink>
      <w:r w:rsidR="009E7917" w:rsidRPr="00D006E5">
        <w:rPr>
          <w:rFonts w:ascii="Arial" w:eastAsia="Times New Roman" w:hAnsi="Arial" w:cs="Arial"/>
          <w:sz w:val="20"/>
          <w:szCs w:val="20"/>
        </w:rPr>
        <w:t>», les études menées sur les rapports des élèves aux différentes disciplines, au moins en France, ne tendent pas à montrer que les mathématiques se singularisent par une détestation particulière</w:t>
      </w:r>
      <w:r w:rsidR="00A455A8" w:rsidRPr="00D006E5">
        <w:rPr>
          <w:rFonts w:ascii="Arial" w:eastAsia="Times New Roman" w:hAnsi="Arial" w:cs="Arial"/>
          <w:sz w:val="20"/>
          <w:szCs w:val="20"/>
        </w:rPr>
        <w:t>, même si elles donnent lieu bien plus que d’autres disciplines à des positions contrastées</w:t>
      </w:r>
      <w:r w:rsidR="009E7917" w:rsidRPr="00D006E5">
        <w:rPr>
          <w:rFonts w:ascii="Arial" w:eastAsia="Times New Roman" w:hAnsi="Arial" w:cs="Arial"/>
          <w:sz w:val="20"/>
          <w:szCs w:val="20"/>
        </w:rPr>
        <w:t xml:space="preserve">. En revanche, il semble bien y avoir une érosion sensible de l’intérêt pour cette discipline au fil de la scolarité secondaire, notamment au collège, </w:t>
      </w:r>
      <w:r w:rsidR="004547C2" w:rsidRPr="00D006E5">
        <w:rPr>
          <w:rFonts w:ascii="Arial" w:eastAsia="Times New Roman" w:hAnsi="Arial" w:cs="Arial"/>
          <w:sz w:val="20"/>
          <w:szCs w:val="20"/>
        </w:rPr>
        <w:t xml:space="preserve">mais pas forcément plus que pour d’autres disciplines, </w:t>
      </w:r>
      <w:r w:rsidR="009E7917" w:rsidRPr="00D006E5">
        <w:rPr>
          <w:rFonts w:ascii="Arial" w:eastAsia="Times New Roman" w:hAnsi="Arial" w:cs="Arial"/>
          <w:sz w:val="20"/>
          <w:szCs w:val="20"/>
        </w:rPr>
        <w:t>et peut-être pl</w:t>
      </w:r>
      <w:r w:rsidR="004547C2" w:rsidRPr="00D006E5">
        <w:rPr>
          <w:rFonts w:ascii="Arial" w:eastAsia="Times New Roman" w:hAnsi="Arial" w:cs="Arial"/>
          <w:sz w:val="20"/>
          <w:szCs w:val="20"/>
        </w:rPr>
        <w:t>us encore me semble-t-il</w:t>
      </w:r>
      <w:r w:rsidR="009E7917" w:rsidRPr="00D006E5">
        <w:rPr>
          <w:rFonts w:ascii="Arial" w:eastAsia="Times New Roman" w:hAnsi="Arial" w:cs="Arial"/>
          <w:sz w:val="20"/>
          <w:szCs w:val="20"/>
        </w:rPr>
        <w:t xml:space="preserve"> </w:t>
      </w:r>
      <w:r w:rsidR="004547C2" w:rsidRPr="00D006E5">
        <w:rPr>
          <w:rFonts w:ascii="Arial" w:eastAsia="Times New Roman" w:hAnsi="Arial" w:cs="Arial"/>
          <w:sz w:val="20"/>
          <w:szCs w:val="20"/>
        </w:rPr>
        <w:t xml:space="preserve">une érosion </w:t>
      </w:r>
      <w:r w:rsidR="009E7917" w:rsidRPr="00D006E5">
        <w:rPr>
          <w:rFonts w:ascii="Arial" w:eastAsia="Times New Roman" w:hAnsi="Arial" w:cs="Arial"/>
          <w:sz w:val="20"/>
          <w:szCs w:val="20"/>
        </w:rPr>
        <w:t>de la confiance des élèves dans leur capacité à continuer à réussir dans cette discipli</w:t>
      </w:r>
      <w:r w:rsidR="004547C2" w:rsidRPr="00D006E5">
        <w:rPr>
          <w:rFonts w:ascii="Arial" w:eastAsia="Times New Roman" w:hAnsi="Arial" w:cs="Arial"/>
          <w:sz w:val="20"/>
          <w:szCs w:val="20"/>
        </w:rPr>
        <w:t>ne. Le fait que les mathématiques</w:t>
      </w:r>
      <w:r w:rsidR="009E7917" w:rsidRPr="00D006E5">
        <w:rPr>
          <w:rFonts w:ascii="Arial" w:eastAsia="Times New Roman" w:hAnsi="Arial" w:cs="Arial"/>
          <w:sz w:val="20"/>
          <w:szCs w:val="20"/>
        </w:rPr>
        <w:t xml:space="preserve"> soi</w:t>
      </w:r>
      <w:r w:rsidR="004547C2" w:rsidRPr="00D006E5">
        <w:rPr>
          <w:rFonts w:ascii="Arial" w:eastAsia="Times New Roman" w:hAnsi="Arial" w:cs="Arial"/>
          <w:sz w:val="20"/>
          <w:szCs w:val="20"/>
        </w:rPr>
        <w:t>en</w:t>
      </w:r>
      <w:r w:rsidR="009E7917" w:rsidRPr="00D006E5">
        <w:rPr>
          <w:rFonts w:ascii="Arial" w:eastAsia="Times New Roman" w:hAnsi="Arial" w:cs="Arial"/>
          <w:sz w:val="20"/>
          <w:szCs w:val="20"/>
        </w:rPr>
        <w:t>t particulièrement cumulative</w:t>
      </w:r>
      <w:r w:rsidR="004547C2" w:rsidRPr="00D006E5">
        <w:rPr>
          <w:rFonts w:ascii="Arial" w:eastAsia="Times New Roman" w:hAnsi="Arial" w:cs="Arial"/>
          <w:sz w:val="20"/>
          <w:szCs w:val="20"/>
        </w:rPr>
        <w:t>s y contribue de façon indéniable</w:t>
      </w:r>
      <w:r w:rsidR="009E7917" w:rsidRPr="00D006E5">
        <w:rPr>
          <w:rFonts w:ascii="Arial" w:eastAsia="Times New Roman" w:hAnsi="Arial" w:cs="Arial"/>
          <w:sz w:val="20"/>
          <w:szCs w:val="20"/>
        </w:rPr>
        <w:t>.</w:t>
      </w:r>
      <w:r w:rsidR="004547C2" w:rsidRPr="00D006E5">
        <w:rPr>
          <w:rFonts w:ascii="Arial" w:eastAsia="Times New Roman" w:hAnsi="Arial" w:cs="Arial"/>
          <w:sz w:val="20"/>
          <w:szCs w:val="20"/>
        </w:rPr>
        <w:t xml:space="preserve"> Mais il me semble aussi que, culturellement, l’idée que certains apprentissages mathématiques soient des occasions de décrochage, après lesquels on cesse définitivement de comprendre à quel jeu on joue et comment on y joue, est particulièrement incrustée</w:t>
      </w:r>
      <w:r w:rsidR="00C32369" w:rsidRPr="00D006E5">
        <w:rPr>
          <w:rFonts w:ascii="Arial" w:eastAsia="Times New Roman" w:hAnsi="Arial" w:cs="Arial"/>
          <w:sz w:val="20"/>
          <w:szCs w:val="20"/>
        </w:rPr>
        <w:t xml:space="preserve"> et vue comme une fatalité. Cela n’est en rien récent</w:t>
      </w:r>
      <w:r w:rsidR="004547C2" w:rsidRPr="00D006E5">
        <w:rPr>
          <w:rFonts w:ascii="Arial" w:eastAsia="Times New Roman" w:hAnsi="Arial" w:cs="Arial"/>
          <w:sz w:val="20"/>
          <w:szCs w:val="20"/>
        </w:rPr>
        <w:t>. Or ces apprentissages sont souvent estampillés collège : entrée dans l’algèbre, démonstration en géométrie. Il y a sans doute d</w:t>
      </w:r>
      <w:r w:rsidR="003F4D68" w:rsidRPr="00D006E5">
        <w:rPr>
          <w:rFonts w:ascii="Arial" w:eastAsia="Times New Roman" w:hAnsi="Arial" w:cs="Arial"/>
          <w:sz w:val="20"/>
          <w:szCs w:val="20"/>
        </w:rPr>
        <w:t>’important</w:t>
      </w:r>
      <w:r w:rsidR="004547C2" w:rsidRPr="00D006E5">
        <w:rPr>
          <w:rFonts w:ascii="Arial" w:eastAsia="Times New Roman" w:hAnsi="Arial" w:cs="Arial"/>
          <w:sz w:val="20"/>
          <w:szCs w:val="20"/>
        </w:rPr>
        <w:t xml:space="preserve">es marges de manœuvre à ce niveau car s’agissant d’apprentissage de l’algèbre ou de </w:t>
      </w:r>
      <w:r w:rsidR="00611083" w:rsidRPr="00D006E5">
        <w:rPr>
          <w:rFonts w:ascii="Arial" w:eastAsia="Times New Roman" w:hAnsi="Arial" w:cs="Arial"/>
          <w:sz w:val="20"/>
          <w:szCs w:val="20"/>
        </w:rPr>
        <w:t>rationalité mathématique, nous sommes</w:t>
      </w:r>
      <w:r w:rsidR="004547C2" w:rsidRPr="00D006E5">
        <w:rPr>
          <w:rFonts w:ascii="Arial" w:eastAsia="Times New Roman" w:hAnsi="Arial" w:cs="Arial"/>
          <w:sz w:val="20"/>
          <w:szCs w:val="20"/>
        </w:rPr>
        <w:t xml:space="preserve"> beaucoup mieux outillé</w:t>
      </w:r>
      <w:r w:rsidR="00611083" w:rsidRPr="00D006E5">
        <w:rPr>
          <w:rFonts w:ascii="Arial" w:eastAsia="Times New Roman" w:hAnsi="Arial" w:cs="Arial"/>
          <w:sz w:val="20"/>
          <w:szCs w:val="20"/>
        </w:rPr>
        <w:t>s</w:t>
      </w:r>
      <w:r w:rsidR="004547C2" w:rsidRPr="00D006E5">
        <w:rPr>
          <w:rFonts w:ascii="Arial" w:eastAsia="Times New Roman" w:hAnsi="Arial" w:cs="Arial"/>
          <w:sz w:val="20"/>
          <w:szCs w:val="20"/>
        </w:rPr>
        <w:t xml:space="preserve"> aujourd’hu</w:t>
      </w:r>
      <w:r w:rsidR="00611083" w:rsidRPr="00D006E5">
        <w:rPr>
          <w:rFonts w:ascii="Arial" w:eastAsia="Times New Roman" w:hAnsi="Arial" w:cs="Arial"/>
          <w:sz w:val="20"/>
          <w:szCs w:val="20"/>
        </w:rPr>
        <w:t xml:space="preserve">i que nous ne l’étions il y a 20 ou 30 ans et nous savons bien </w:t>
      </w:r>
      <w:r w:rsidR="004547C2" w:rsidRPr="00D006E5">
        <w:rPr>
          <w:rFonts w:ascii="Arial" w:eastAsia="Times New Roman" w:hAnsi="Arial" w:cs="Arial"/>
          <w:sz w:val="20"/>
          <w:szCs w:val="20"/>
        </w:rPr>
        <w:t xml:space="preserve">qu’il n’y a </w:t>
      </w:r>
      <w:r w:rsidR="00611083" w:rsidRPr="00D006E5">
        <w:rPr>
          <w:rFonts w:ascii="Arial" w:eastAsia="Times New Roman" w:hAnsi="Arial" w:cs="Arial"/>
          <w:sz w:val="20"/>
          <w:szCs w:val="20"/>
        </w:rPr>
        <w:t xml:space="preserve">là </w:t>
      </w:r>
      <w:r w:rsidR="004547C2" w:rsidRPr="00D006E5">
        <w:rPr>
          <w:rFonts w:ascii="Arial" w:eastAsia="Times New Roman" w:hAnsi="Arial" w:cs="Arial"/>
          <w:sz w:val="20"/>
          <w:szCs w:val="20"/>
        </w:rPr>
        <w:t>nulle fatalité</w:t>
      </w:r>
      <w:r w:rsidR="00611083" w:rsidRPr="00D006E5">
        <w:rPr>
          <w:rFonts w:ascii="Arial" w:eastAsia="Times New Roman" w:hAnsi="Arial" w:cs="Arial"/>
          <w:sz w:val="20"/>
          <w:szCs w:val="20"/>
        </w:rPr>
        <w:t>, à condition d’avoir des stratégies didactiques adaptées.</w:t>
      </w:r>
      <w:r w:rsidR="004547C2" w:rsidRPr="00D006E5">
        <w:rPr>
          <w:rFonts w:ascii="Arial" w:eastAsia="Times New Roman" w:hAnsi="Arial" w:cs="Arial"/>
          <w:sz w:val="20"/>
          <w:szCs w:val="20"/>
        </w:rPr>
        <w:t xml:space="preserve"> </w:t>
      </w:r>
      <w:r w:rsidR="00611083" w:rsidRPr="00D006E5">
        <w:rPr>
          <w:rFonts w:ascii="Arial" w:eastAsia="Times New Roman" w:hAnsi="Arial" w:cs="Arial"/>
          <w:sz w:val="20"/>
          <w:szCs w:val="20"/>
        </w:rPr>
        <w:t xml:space="preserve">Mais cette connaissance </w:t>
      </w:r>
      <w:r w:rsidR="00C75745" w:rsidRPr="00D006E5">
        <w:rPr>
          <w:rFonts w:ascii="Arial" w:eastAsia="Times New Roman" w:hAnsi="Arial" w:cs="Arial"/>
          <w:sz w:val="20"/>
          <w:szCs w:val="20"/>
        </w:rPr>
        <w:t>n’</w:t>
      </w:r>
      <w:r w:rsidR="00611083" w:rsidRPr="00D006E5">
        <w:rPr>
          <w:rFonts w:ascii="Arial" w:eastAsia="Times New Roman" w:hAnsi="Arial" w:cs="Arial"/>
          <w:sz w:val="20"/>
          <w:szCs w:val="20"/>
        </w:rPr>
        <w:t xml:space="preserve">a </w:t>
      </w:r>
      <w:r w:rsidR="00C75745" w:rsidRPr="00D006E5">
        <w:rPr>
          <w:rFonts w:ascii="Arial" w:eastAsia="Times New Roman" w:hAnsi="Arial" w:cs="Arial"/>
          <w:sz w:val="20"/>
          <w:szCs w:val="20"/>
        </w:rPr>
        <w:t xml:space="preserve">pas </w:t>
      </w:r>
      <w:r w:rsidR="00611083" w:rsidRPr="00D006E5">
        <w:rPr>
          <w:rFonts w:ascii="Arial" w:eastAsia="Times New Roman" w:hAnsi="Arial" w:cs="Arial"/>
          <w:sz w:val="20"/>
          <w:szCs w:val="20"/>
        </w:rPr>
        <w:t>j</w:t>
      </w:r>
      <w:r w:rsidR="00C75745" w:rsidRPr="00D006E5">
        <w:rPr>
          <w:rFonts w:ascii="Arial" w:eastAsia="Times New Roman" w:hAnsi="Arial" w:cs="Arial"/>
          <w:sz w:val="20"/>
          <w:szCs w:val="20"/>
        </w:rPr>
        <w:t>usqu’ici influé suffisamment</w:t>
      </w:r>
      <w:r w:rsidR="00611083" w:rsidRPr="00D006E5">
        <w:rPr>
          <w:rFonts w:ascii="Arial" w:eastAsia="Times New Roman" w:hAnsi="Arial" w:cs="Arial"/>
          <w:sz w:val="20"/>
          <w:szCs w:val="20"/>
        </w:rPr>
        <w:t xml:space="preserve"> sur les pratiques. </w:t>
      </w:r>
      <w:r w:rsidR="00C32369" w:rsidRPr="00D006E5">
        <w:rPr>
          <w:rFonts w:ascii="Arial" w:eastAsia="Times New Roman" w:hAnsi="Arial" w:cs="Arial"/>
          <w:sz w:val="20"/>
          <w:szCs w:val="20"/>
        </w:rPr>
        <w:t>On retombe inévitablement sur les questions de</w:t>
      </w:r>
      <w:r w:rsidR="003F4D68" w:rsidRPr="00D006E5">
        <w:rPr>
          <w:rFonts w:ascii="Arial" w:eastAsia="Times New Roman" w:hAnsi="Arial" w:cs="Arial"/>
          <w:sz w:val="20"/>
          <w:szCs w:val="20"/>
        </w:rPr>
        <w:t xml:space="preserve"> formation initiale et continue, d’accompagnement des évolutions de pratiques souhaitées. Changements curriculaires, documents d’accompagnements sont insuffisants à produire des évolutions substantielles et durables.</w:t>
      </w:r>
      <w:r w:rsidR="00796487">
        <w:rPr>
          <w:rFonts w:ascii="Arial" w:eastAsia="Times New Roman" w:hAnsi="Arial" w:cs="Arial"/>
          <w:sz w:val="20"/>
          <w:szCs w:val="20"/>
        </w:rPr>
        <w:t xml:space="preserve"> </w:t>
      </w:r>
      <w:r w:rsidR="008E3501" w:rsidRPr="00D006E5">
        <w:rPr>
          <w:rFonts w:ascii="Arial" w:eastAsia="Times New Roman" w:hAnsi="Arial" w:cs="Arial"/>
          <w:sz w:val="20"/>
          <w:szCs w:val="20"/>
        </w:rPr>
        <w:t>Voir plus bas.</w:t>
      </w:r>
    </w:p>
    <w:p w14:paraId="6983B7E5" w14:textId="77777777" w:rsidR="003F4D68" w:rsidRPr="00796487" w:rsidRDefault="003F4D68" w:rsidP="00796487">
      <w:pPr>
        <w:spacing w:before="200" w:after="60"/>
        <w:jc w:val="both"/>
        <w:rPr>
          <w:rFonts w:ascii="Arial" w:eastAsia="Times New Roman" w:hAnsi="Arial" w:cs="Arial"/>
          <w:b/>
          <w:sz w:val="20"/>
          <w:szCs w:val="20"/>
        </w:rPr>
      </w:pPr>
      <w:r w:rsidRPr="00796487">
        <w:rPr>
          <w:rFonts w:ascii="Arial" w:eastAsia="Times New Roman" w:hAnsi="Arial" w:cs="Arial"/>
          <w:b/>
          <w:sz w:val="20"/>
          <w:szCs w:val="20"/>
        </w:rPr>
        <w:t>L’attractivité des filières scientifiques</w:t>
      </w:r>
    </w:p>
    <w:p w14:paraId="7D32B28A" w14:textId="5CE79273" w:rsidR="00611083" w:rsidRPr="00D006E5" w:rsidRDefault="00611083" w:rsidP="00D006E5">
      <w:pPr>
        <w:spacing w:after="60"/>
        <w:jc w:val="both"/>
        <w:rPr>
          <w:rFonts w:ascii="Arial" w:eastAsia="Times New Roman" w:hAnsi="Arial" w:cs="Arial"/>
          <w:sz w:val="20"/>
          <w:szCs w:val="20"/>
        </w:rPr>
      </w:pPr>
      <w:r w:rsidRPr="00D006E5">
        <w:rPr>
          <w:rFonts w:ascii="Arial" w:eastAsia="Times New Roman" w:hAnsi="Arial" w:cs="Arial"/>
          <w:sz w:val="20"/>
          <w:szCs w:val="20"/>
        </w:rPr>
        <w:t>Au niveau de l’enseignem</w:t>
      </w:r>
      <w:r w:rsidR="008E3501" w:rsidRPr="00D006E5">
        <w:rPr>
          <w:rFonts w:ascii="Arial" w:eastAsia="Times New Roman" w:hAnsi="Arial" w:cs="Arial"/>
          <w:sz w:val="20"/>
          <w:szCs w:val="20"/>
        </w:rPr>
        <w:t>ent secondaire, nous sommes</w:t>
      </w:r>
      <w:r w:rsidRPr="00D006E5">
        <w:rPr>
          <w:rFonts w:ascii="Arial" w:eastAsia="Times New Roman" w:hAnsi="Arial" w:cs="Arial"/>
          <w:sz w:val="20"/>
          <w:szCs w:val="20"/>
        </w:rPr>
        <w:t xml:space="preserve"> un pays où la filière scientifique, la filière S</w:t>
      </w:r>
      <w:r w:rsidR="00796487">
        <w:rPr>
          <w:rFonts w:ascii="Arial" w:eastAsia="Times New Roman" w:hAnsi="Arial" w:cs="Arial"/>
          <w:sz w:val="20"/>
          <w:szCs w:val="20"/>
        </w:rPr>
        <w:t>,</w:t>
      </w:r>
      <w:r w:rsidR="00C75745" w:rsidRPr="00D006E5">
        <w:rPr>
          <w:rFonts w:ascii="Arial" w:eastAsia="Times New Roman" w:hAnsi="Arial" w:cs="Arial"/>
          <w:sz w:val="20"/>
          <w:szCs w:val="20"/>
        </w:rPr>
        <w:t xml:space="preserve"> est une filière attractive car considérée comme filière d’excellence ouvrant toutes les portes. Le pourcentage d’élèves choisissant cette filière ne s</w:t>
      </w:r>
      <w:r w:rsidR="00D145ED" w:rsidRPr="00D006E5">
        <w:rPr>
          <w:rFonts w:ascii="Arial" w:eastAsia="Times New Roman" w:hAnsi="Arial" w:cs="Arial"/>
          <w:sz w:val="20"/>
          <w:szCs w:val="20"/>
        </w:rPr>
        <w:t>emble pas décroître</w:t>
      </w:r>
      <w:r w:rsidR="00C75745" w:rsidRPr="00D006E5">
        <w:rPr>
          <w:rFonts w:ascii="Arial" w:eastAsia="Times New Roman" w:hAnsi="Arial" w:cs="Arial"/>
          <w:sz w:val="20"/>
          <w:szCs w:val="20"/>
        </w:rPr>
        <w:t xml:space="preserve"> et il semble difficile d’affirmer qu’il y a un problème d’attractivité de la filière S. </w:t>
      </w:r>
      <w:r w:rsidR="00D417A1" w:rsidRPr="00D006E5">
        <w:rPr>
          <w:rFonts w:ascii="Arial" w:eastAsia="Times New Roman" w:hAnsi="Arial" w:cs="Arial"/>
          <w:sz w:val="20"/>
          <w:szCs w:val="20"/>
        </w:rPr>
        <w:t xml:space="preserve">Les taux de réussite au baccalauréat y sont excellents, le nombre de mentions a explosé. </w:t>
      </w:r>
      <w:r w:rsidR="00C75745" w:rsidRPr="00D006E5">
        <w:rPr>
          <w:rFonts w:ascii="Arial" w:eastAsia="Times New Roman" w:hAnsi="Arial" w:cs="Arial"/>
          <w:sz w:val="20"/>
          <w:szCs w:val="20"/>
        </w:rPr>
        <w:t>En</w:t>
      </w:r>
      <w:r w:rsidR="00796487">
        <w:rPr>
          <w:rFonts w:ascii="Arial" w:eastAsia="Times New Roman" w:hAnsi="Arial" w:cs="Arial"/>
          <w:sz w:val="20"/>
          <w:szCs w:val="20"/>
        </w:rPr>
        <w:t xml:space="preserve"> </w:t>
      </w:r>
      <w:r w:rsidR="00C75745" w:rsidRPr="00D006E5">
        <w:rPr>
          <w:rFonts w:ascii="Arial" w:eastAsia="Times New Roman" w:hAnsi="Arial" w:cs="Arial"/>
          <w:sz w:val="20"/>
          <w:szCs w:val="20"/>
        </w:rPr>
        <w:t xml:space="preserve">revanche, </w:t>
      </w:r>
      <w:r w:rsidR="00E1114A" w:rsidRPr="00D006E5">
        <w:rPr>
          <w:rFonts w:ascii="Arial" w:eastAsia="Times New Roman" w:hAnsi="Arial" w:cs="Arial"/>
          <w:sz w:val="20"/>
          <w:szCs w:val="20"/>
        </w:rPr>
        <w:t>et je suis là encore d’accord avec Pierre</w:t>
      </w:r>
      <w:r w:rsidR="00D145ED" w:rsidRPr="00D006E5">
        <w:rPr>
          <w:rFonts w:ascii="Arial" w:eastAsia="Times New Roman" w:hAnsi="Arial" w:cs="Arial"/>
          <w:sz w:val="20"/>
          <w:szCs w:val="20"/>
        </w:rPr>
        <w:t xml:space="preserve"> Arnoux</w:t>
      </w:r>
      <w:r w:rsidR="00E1114A" w:rsidRPr="00D006E5">
        <w:rPr>
          <w:rFonts w:ascii="Arial" w:eastAsia="Times New Roman" w:hAnsi="Arial" w:cs="Arial"/>
          <w:sz w:val="20"/>
          <w:szCs w:val="20"/>
        </w:rPr>
        <w:t xml:space="preserve">, </w:t>
      </w:r>
      <w:r w:rsidR="00C75745" w:rsidRPr="00D006E5">
        <w:rPr>
          <w:rFonts w:ascii="Arial" w:eastAsia="Times New Roman" w:hAnsi="Arial" w:cs="Arial"/>
          <w:sz w:val="20"/>
          <w:szCs w:val="20"/>
        </w:rPr>
        <w:t>ce qui est problématique c’est la baisse régulière du nombre d’élèves choisissant la spécialité mathématiques dans cette filière. S’il y a un problème d’attractivité c’est ce</w:t>
      </w:r>
      <w:r w:rsidR="00D417A1" w:rsidRPr="00D006E5">
        <w:rPr>
          <w:rFonts w:ascii="Arial" w:eastAsia="Times New Roman" w:hAnsi="Arial" w:cs="Arial"/>
          <w:sz w:val="20"/>
          <w:szCs w:val="20"/>
        </w:rPr>
        <w:t>lui de cette spécialité</w:t>
      </w:r>
      <w:r w:rsidR="00796487">
        <w:rPr>
          <w:rFonts w:ascii="Arial" w:eastAsia="Times New Roman" w:hAnsi="Arial" w:cs="Arial"/>
          <w:sz w:val="20"/>
          <w:szCs w:val="20"/>
        </w:rPr>
        <w:t>,</w:t>
      </w:r>
      <w:r w:rsidR="00D417A1" w:rsidRPr="00D006E5">
        <w:rPr>
          <w:rFonts w:ascii="Arial" w:eastAsia="Times New Roman" w:hAnsi="Arial" w:cs="Arial"/>
          <w:sz w:val="20"/>
          <w:szCs w:val="20"/>
        </w:rPr>
        <w:t xml:space="preserve"> mais est-il lié aux mathématiques en tant que sciences</w:t>
      </w:r>
      <w:r w:rsidR="00C32369" w:rsidRPr="00D006E5">
        <w:rPr>
          <w:rFonts w:ascii="Arial" w:eastAsia="Times New Roman" w:hAnsi="Arial" w:cs="Arial"/>
          <w:sz w:val="20"/>
          <w:szCs w:val="20"/>
        </w:rPr>
        <w:t xml:space="preserve"> et aux programmes</w:t>
      </w:r>
      <w:r w:rsidR="00D417A1" w:rsidRPr="00D006E5">
        <w:rPr>
          <w:rFonts w:ascii="Arial" w:eastAsia="Times New Roman" w:hAnsi="Arial" w:cs="Arial"/>
          <w:sz w:val="20"/>
          <w:szCs w:val="20"/>
        </w:rPr>
        <w:t> ?</w:t>
      </w:r>
      <w:r w:rsidR="00A455A8" w:rsidRPr="00D006E5">
        <w:rPr>
          <w:rFonts w:ascii="Arial" w:eastAsia="Times New Roman" w:hAnsi="Arial" w:cs="Arial"/>
          <w:sz w:val="20"/>
          <w:szCs w:val="20"/>
        </w:rPr>
        <w:t xml:space="preserve"> Il</w:t>
      </w:r>
      <w:r w:rsidR="00D417A1" w:rsidRPr="00D006E5">
        <w:rPr>
          <w:rFonts w:ascii="Arial" w:eastAsia="Times New Roman" w:hAnsi="Arial" w:cs="Arial"/>
          <w:sz w:val="20"/>
          <w:szCs w:val="20"/>
        </w:rPr>
        <w:t xml:space="preserve"> réside bien plus dans la différence des modes d’évaluation et des notes obtenues pour les différentes spécialités au baccalauréat. Cela fait des années que le problème e</w:t>
      </w:r>
      <w:r w:rsidR="00D145ED" w:rsidRPr="00D006E5">
        <w:rPr>
          <w:rFonts w:ascii="Arial" w:eastAsia="Times New Roman" w:hAnsi="Arial" w:cs="Arial"/>
          <w:sz w:val="20"/>
          <w:szCs w:val="20"/>
        </w:rPr>
        <w:t>st diagnost</w:t>
      </w:r>
      <w:r w:rsidR="00A455A8" w:rsidRPr="00D006E5">
        <w:rPr>
          <w:rFonts w:ascii="Arial" w:eastAsia="Times New Roman" w:hAnsi="Arial" w:cs="Arial"/>
          <w:sz w:val="20"/>
          <w:szCs w:val="20"/>
        </w:rPr>
        <w:t>iqué</w:t>
      </w:r>
      <w:r w:rsidR="00D417A1" w:rsidRPr="00D006E5">
        <w:rPr>
          <w:rFonts w:ascii="Arial" w:eastAsia="Times New Roman" w:hAnsi="Arial" w:cs="Arial"/>
          <w:sz w:val="20"/>
          <w:szCs w:val="20"/>
        </w:rPr>
        <w:t xml:space="preserve">. </w:t>
      </w:r>
      <w:r w:rsidR="00C32369" w:rsidRPr="00D006E5">
        <w:rPr>
          <w:rFonts w:ascii="Arial" w:eastAsia="Times New Roman" w:hAnsi="Arial" w:cs="Arial"/>
          <w:sz w:val="20"/>
          <w:szCs w:val="20"/>
        </w:rPr>
        <w:t xml:space="preserve">Il a des répercussions évidentes au niveau de la licence. </w:t>
      </w:r>
    </w:p>
    <w:p w14:paraId="7F13E4F8" w14:textId="77777777" w:rsidR="008E3501" w:rsidRPr="00796487" w:rsidRDefault="008E3501" w:rsidP="00796487">
      <w:pPr>
        <w:spacing w:before="200" w:after="60"/>
        <w:jc w:val="both"/>
        <w:rPr>
          <w:rFonts w:ascii="Arial" w:eastAsia="Times New Roman" w:hAnsi="Arial" w:cs="Arial"/>
          <w:b/>
          <w:sz w:val="20"/>
          <w:szCs w:val="20"/>
        </w:rPr>
      </w:pPr>
      <w:r w:rsidRPr="00796487">
        <w:rPr>
          <w:rFonts w:ascii="Arial" w:eastAsia="Times New Roman" w:hAnsi="Arial" w:cs="Arial"/>
          <w:b/>
          <w:sz w:val="20"/>
          <w:szCs w:val="20"/>
        </w:rPr>
        <w:t>Une situation qui, indépendamment des questions d’attractivité, n’est pas satisfaisante</w:t>
      </w:r>
    </w:p>
    <w:p w14:paraId="7FFDF056" w14:textId="147F0E6D" w:rsidR="00E626CA" w:rsidRPr="00D006E5" w:rsidRDefault="00C32369" w:rsidP="00D006E5">
      <w:pPr>
        <w:spacing w:after="60"/>
        <w:jc w:val="both"/>
        <w:rPr>
          <w:rFonts w:ascii="Arial" w:eastAsia="Times New Roman" w:hAnsi="Arial" w:cs="Arial"/>
          <w:sz w:val="20"/>
          <w:szCs w:val="20"/>
        </w:rPr>
      </w:pPr>
      <w:r w:rsidRPr="00D006E5">
        <w:rPr>
          <w:rFonts w:ascii="Arial" w:eastAsia="Times New Roman" w:hAnsi="Arial" w:cs="Arial"/>
          <w:sz w:val="20"/>
          <w:szCs w:val="20"/>
        </w:rPr>
        <w:t xml:space="preserve">Qu’il y ait ou non problème d’attractivité des mathématiques, il n’en demeure pas moins que l’on ne peut se satisfaire de l’état actuel de l’enseignement des mathématiques. </w:t>
      </w:r>
      <w:r w:rsidR="00937390" w:rsidRPr="00D006E5">
        <w:rPr>
          <w:rFonts w:ascii="Arial" w:eastAsia="Times New Roman" w:hAnsi="Arial" w:cs="Arial"/>
          <w:sz w:val="20"/>
          <w:szCs w:val="20"/>
        </w:rPr>
        <w:t xml:space="preserve">Trop d’élèves terminent l’enseignement élémentaire sans les connaissances nécessaires pour profiter de l’enseignement du collège. Les résultats de PISA </w:t>
      </w:r>
      <w:r w:rsidR="00796487">
        <w:rPr>
          <w:rFonts w:ascii="Arial" w:eastAsia="Times New Roman" w:hAnsi="Arial" w:cs="Arial"/>
          <w:sz w:val="20"/>
          <w:szCs w:val="20"/>
        </w:rPr>
        <w:t>nous montrent encore cette année</w:t>
      </w:r>
      <w:r w:rsidR="00937390" w:rsidRPr="00D006E5">
        <w:rPr>
          <w:rFonts w:ascii="Arial" w:eastAsia="Times New Roman" w:hAnsi="Arial" w:cs="Arial"/>
          <w:sz w:val="20"/>
          <w:szCs w:val="20"/>
        </w:rPr>
        <w:t xml:space="preserve"> des résultats au mieux moyens et surtout </w:t>
      </w:r>
      <w:r w:rsidR="00952974" w:rsidRPr="00D006E5">
        <w:rPr>
          <w:rFonts w:ascii="Arial" w:eastAsia="Times New Roman" w:hAnsi="Arial" w:cs="Arial"/>
          <w:sz w:val="20"/>
          <w:szCs w:val="20"/>
        </w:rPr>
        <w:t xml:space="preserve">des </w:t>
      </w:r>
      <w:r w:rsidR="00937390" w:rsidRPr="00D006E5">
        <w:rPr>
          <w:rFonts w:ascii="Arial" w:eastAsia="Times New Roman" w:hAnsi="Arial" w:cs="Arial"/>
          <w:sz w:val="20"/>
          <w:szCs w:val="20"/>
        </w:rPr>
        <w:t xml:space="preserve">écarts insupportables et </w:t>
      </w:r>
      <w:r w:rsidR="00952974" w:rsidRPr="00D006E5">
        <w:rPr>
          <w:rFonts w:ascii="Arial" w:eastAsia="Times New Roman" w:hAnsi="Arial" w:cs="Arial"/>
          <w:sz w:val="20"/>
          <w:szCs w:val="20"/>
        </w:rPr>
        <w:t xml:space="preserve">confirmer </w:t>
      </w:r>
      <w:r w:rsidR="00937390" w:rsidRPr="00D006E5">
        <w:rPr>
          <w:rFonts w:ascii="Arial" w:eastAsia="Times New Roman" w:hAnsi="Arial" w:cs="Arial"/>
          <w:sz w:val="20"/>
          <w:szCs w:val="20"/>
        </w:rPr>
        <w:t>leurs déterminants sociologiques. On empile l’enseignement de notions sans que les élèves sachent à quelles questions elles peuvent bien répo</w:t>
      </w:r>
      <w:r w:rsidR="00952974" w:rsidRPr="00D006E5">
        <w:rPr>
          <w:rFonts w:ascii="Arial" w:eastAsia="Times New Roman" w:hAnsi="Arial" w:cs="Arial"/>
          <w:sz w:val="20"/>
          <w:szCs w:val="20"/>
        </w:rPr>
        <w:t>ndre. Les programmes sont remplis</w:t>
      </w:r>
      <w:r w:rsidR="00937390" w:rsidRPr="00D006E5">
        <w:rPr>
          <w:rFonts w:ascii="Arial" w:eastAsia="Times New Roman" w:hAnsi="Arial" w:cs="Arial"/>
          <w:sz w:val="20"/>
          <w:szCs w:val="20"/>
        </w:rPr>
        <w:t xml:space="preserve"> de</w:t>
      </w:r>
      <w:r w:rsidR="00952974" w:rsidRPr="00D006E5">
        <w:rPr>
          <w:rFonts w:ascii="Arial" w:eastAsia="Times New Roman" w:hAnsi="Arial" w:cs="Arial"/>
          <w:sz w:val="20"/>
          <w:szCs w:val="20"/>
        </w:rPr>
        <w:t>puis des années</w:t>
      </w:r>
      <w:r w:rsidR="00937390" w:rsidRPr="00D006E5">
        <w:rPr>
          <w:rFonts w:ascii="Arial" w:eastAsia="Times New Roman" w:hAnsi="Arial" w:cs="Arial"/>
          <w:sz w:val="20"/>
          <w:szCs w:val="20"/>
        </w:rPr>
        <w:t xml:space="preserve"> </w:t>
      </w:r>
      <w:r w:rsidR="00952974" w:rsidRPr="00D006E5">
        <w:rPr>
          <w:rFonts w:ascii="Arial" w:eastAsia="Times New Roman" w:hAnsi="Arial" w:cs="Arial"/>
          <w:sz w:val="20"/>
          <w:szCs w:val="20"/>
        </w:rPr>
        <w:t>de</w:t>
      </w:r>
      <w:r w:rsidR="00937390" w:rsidRPr="00D006E5">
        <w:rPr>
          <w:rFonts w:ascii="Arial" w:eastAsia="Times New Roman" w:hAnsi="Arial" w:cs="Arial"/>
          <w:sz w:val="20"/>
          <w:szCs w:val="20"/>
        </w:rPr>
        <w:t xml:space="preserve"> belles déclarations</w:t>
      </w:r>
      <w:r w:rsidR="00952974" w:rsidRPr="00D006E5">
        <w:rPr>
          <w:rFonts w:ascii="Arial" w:eastAsia="Times New Roman" w:hAnsi="Arial" w:cs="Arial"/>
          <w:sz w:val="20"/>
          <w:szCs w:val="20"/>
        </w:rPr>
        <w:t xml:space="preserve"> et injonctions concernant les pratiques pédagogiques à mettre en œuvre, mais elles ne se concrétisent </w:t>
      </w:r>
      <w:r w:rsidR="00D145ED" w:rsidRPr="00D006E5">
        <w:rPr>
          <w:rFonts w:ascii="Arial" w:eastAsia="Times New Roman" w:hAnsi="Arial" w:cs="Arial"/>
          <w:sz w:val="20"/>
          <w:szCs w:val="20"/>
        </w:rPr>
        <w:t>guère</w:t>
      </w:r>
      <w:r w:rsidR="00937390" w:rsidRPr="00D006E5">
        <w:rPr>
          <w:rFonts w:ascii="Arial" w:eastAsia="Times New Roman" w:hAnsi="Arial" w:cs="Arial"/>
          <w:sz w:val="20"/>
          <w:szCs w:val="20"/>
        </w:rPr>
        <w:t xml:space="preserve"> </w:t>
      </w:r>
      <w:r w:rsidR="00E1114A" w:rsidRPr="00D006E5">
        <w:rPr>
          <w:rFonts w:ascii="Arial" w:eastAsia="Times New Roman" w:hAnsi="Arial" w:cs="Arial"/>
          <w:sz w:val="20"/>
          <w:szCs w:val="20"/>
        </w:rPr>
        <w:t xml:space="preserve">plus qu’avant </w:t>
      </w:r>
      <w:r w:rsidR="00937390" w:rsidRPr="00D006E5">
        <w:rPr>
          <w:rFonts w:ascii="Arial" w:eastAsia="Times New Roman" w:hAnsi="Arial" w:cs="Arial"/>
          <w:sz w:val="20"/>
          <w:szCs w:val="20"/>
        </w:rPr>
        <w:t xml:space="preserve">dans la réalité des classes. </w:t>
      </w:r>
      <w:r w:rsidR="00E1114A" w:rsidRPr="00D006E5">
        <w:rPr>
          <w:rFonts w:ascii="Arial" w:eastAsia="Times New Roman" w:hAnsi="Arial" w:cs="Arial"/>
          <w:sz w:val="20"/>
          <w:szCs w:val="20"/>
        </w:rPr>
        <w:t xml:space="preserve">Pourtant, pour essayer d’améliorer les choses, nous ne sommes pas sans ressources. </w:t>
      </w:r>
      <w:r w:rsidR="00D145ED" w:rsidRPr="00D006E5">
        <w:rPr>
          <w:rFonts w:ascii="Arial" w:eastAsia="Times New Roman" w:hAnsi="Arial" w:cs="Arial"/>
          <w:sz w:val="20"/>
          <w:szCs w:val="20"/>
        </w:rPr>
        <w:t>Voir par exemple pour ce qui concerne le numérique et l’algèbre, les synthèses produites</w:t>
      </w:r>
      <w:r w:rsidR="00A455A8" w:rsidRPr="00D006E5">
        <w:rPr>
          <w:rFonts w:ascii="Arial" w:eastAsia="Times New Roman" w:hAnsi="Arial" w:cs="Arial"/>
          <w:sz w:val="20"/>
          <w:szCs w:val="20"/>
        </w:rPr>
        <w:t xml:space="preserve"> pour </w:t>
      </w:r>
      <w:hyperlink r:id="rId9" w:history="1">
        <w:r w:rsidR="00A455A8" w:rsidRPr="00610A82">
          <w:rPr>
            <w:rStyle w:val="Lienhypertexte"/>
            <w:rFonts w:ascii="Arial" w:eastAsia="Times New Roman" w:hAnsi="Arial" w:cs="Arial"/>
            <w:sz w:val="20"/>
            <w:szCs w:val="20"/>
          </w:rPr>
          <w:t>la conférence</w:t>
        </w:r>
        <w:r w:rsidR="00D145ED" w:rsidRPr="00610A82">
          <w:rPr>
            <w:rStyle w:val="Lienhypertexte"/>
            <w:rFonts w:ascii="Arial" w:eastAsia="Times New Roman" w:hAnsi="Arial" w:cs="Arial"/>
            <w:sz w:val="20"/>
            <w:szCs w:val="20"/>
          </w:rPr>
          <w:t xml:space="preserve"> qui s’est tenue à </w:t>
        </w:r>
        <w:r w:rsidR="00796487" w:rsidRPr="00610A82">
          <w:rPr>
            <w:rStyle w:val="Lienhypertexte"/>
            <w:rFonts w:ascii="Arial" w:eastAsia="Times New Roman" w:hAnsi="Arial" w:cs="Arial"/>
            <w:sz w:val="20"/>
            <w:szCs w:val="20"/>
          </w:rPr>
          <w:t>l’Institut Français de l’Éducation</w:t>
        </w:r>
      </w:hyperlink>
      <w:r w:rsidR="00796487">
        <w:rPr>
          <w:rFonts w:ascii="Arial" w:eastAsia="Times New Roman" w:hAnsi="Arial" w:cs="Arial"/>
          <w:sz w:val="20"/>
          <w:szCs w:val="20"/>
        </w:rPr>
        <w:t xml:space="preserve"> </w:t>
      </w:r>
      <w:r w:rsidR="00610A82">
        <w:rPr>
          <w:rFonts w:ascii="Arial" w:eastAsia="Times New Roman" w:hAnsi="Arial" w:cs="Arial"/>
          <w:sz w:val="20"/>
          <w:szCs w:val="20"/>
        </w:rPr>
        <w:t>en mars 2012</w:t>
      </w:r>
      <w:r w:rsidR="00D145ED" w:rsidRPr="00D006E5">
        <w:rPr>
          <w:rFonts w:ascii="Arial" w:eastAsia="Times New Roman" w:hAnsi="Arial" w:cs="Arial"/>
          <w:sz w:val="20"/>
          <w:szCs w:val="20"/>
        </w:rPr>
        <w:t>.</w:t>
      </w:r>
    </w:p>
    <w:p w14:paraId="50FC4E77" w14:textId="77777777" w:rsidR="00610A82" w:rsidRPr="00610A82" w:rsidRDefault="00610A82" w:rsidP="00041D54">
      <w:pPr>
        <w:spacing w:before="200" w:after="60"/>
        <w:jc w:val="both"/>
        <w:rPr>
          <w:rFonts w:ascii="Arial" w:eastAsia="Times New Roman" w:hAnsi="Arial" w:cs="Arial"/>
          <w:b/>
          <w:sz w:val="20"/>
          <w:szCs w:val="20"/>
        </w:rPr>
      </w:pPr>
      <w:r w:rsidRPr="00610A82">
        <w:rPr>
          <w:rFonts w:ascii="Arial" w:eastAsia="Times New Roman" w:hAnsi="Arial" w:cs="Arial"/>
          <w:b/>
          <w:sz w:val="20"/>
          <w:szCs w:val="20"/>
        </w:rPr>
        <w:t>Amorce de questionnement</w:t>
      </w:r>
    </w:p>
    <w:p w14:paraId="4BFA14DE" w14:textId="7A5B1BEB" w:rsidR="008E3501" w:rsidRPr="00610A82" w:rsidRDefault="00E1114A" w:rsidP="00610A82">
      <w:pPr>
        <w:spacing w:before="200" w:after="60"/>
        <w:jc w:val="both"/>
        <w:rPr>
          <w:rFonts w:ascii="Arial" w:eastAsia="Times New Roman" w:hAnsi="Arial" w:cs="Arial"/>
          <w:i/>
          <w:sz w:val="20"/>
          <w:szCs w:val="20"/>
        </w:rPr>
      </w:pPr>
      <w:r w:rsidRPr="00610A82">
        <w:rPr>
          <w:rFonts w:ascii="Arial" w:eastAsia="Times New Roman" w:hAnsi="Arial" w:cs="Arial"/>
          <w:i/>
          <w:sz w:val="20"/>
          <w:szCs w:val="20"/>
        </w:rPr>
        <w:t>Pédagogie inversée</w:t>
      </w:r>
    </w:p>
    <w:p w14:paraId="53FF6BC7" w14:textId="148BD3AB" w:rsidR="00E1114A" w:rsidRPr="00D006E5" w:rsidRDefault="008E3501" w:rsidP="00D006E5">
      <w:pPr>
        <w:spacing w:after="60"/>
        <w:jc w:val="both"/>
        <w:rPr>
          <w:rFonts w:ascii="Arial" w:eastAsia="Times New Roman" w:hAnsi="Arial" w:cs="Arial"/>
          <w:sz w:val="20"/>
          <w:szCs w:val="20"/>
        </w:rPr>
      </w:pPr>
      <w:r w:rsidRPr="00D006E5">
        <w:rPr>
          <w:rFonts w:ascii="Arial" w:eastAsia="Times New Roman" w:hAnsi="Arial" w:cs="Arial"/>
          <w:sz w:val="20"/>
          <w:szCs w:val="20"/>
        </w:rPr>
        <w:t>A</w:t>
      </w:r>
      <w:r w:rsidR="00E1114A" w:rsidRPr="00D006E5">
        <w:rPr>
          <w:rFonts w:ascii="Arial" w:eastAsia="Times New Roman" w:hAnsi="Arial" w:cs="Arial"/>
          <w:sz w:val="20"/>
          <w:szCs w:val="20"/>
        </w:rPr>
        <w:t>tt</w:t>
      </w:r>
      <w:r w:rsidRPr="00D006E5">
        <w:rPr>
          <w:rFonts w:ascii="Arial" w:eastAsia="Times New Roman" w:hAnsi="Arial" w:cs="Arial"/>
          <w:sz w:val="20"/>
          <w:szCs w:val="20"/>
        </w:rPr>
        <w:t>ention au n-ième remède miracle !</w:t>
      </w:r>
      <w:r w:rsidR="00E1114A" w:rsidRPr="00D006E5">
        <w:rPr>
          <w:rFonts w:ascii="Arial" w:eastAsia="Times New Roman" w:hAnsi="Arial" w:cs="Arial"/>
          <w:sz w:val="20"/>
          <w:szCs w:val="20"/>
        </w:rPr>
        <w:t xml:space="preserve"> Il existe depuis longtemps des exemples </w:t>
      </w:r>
      <w:r w:rsidR="00D145ED" w:rsidRPr="00D006E5">
        <w:rPr>
          <w:rFonts w:ascii="Arial" w:eastAsia="Times New Roman" w:hAnsi="Arial" w:cs="Arial"/>
          <w:sz w:val="20"/>
          <w:szCs w:val="20"/>
        </w:rPr>
        <w:t xml:space="preserve">a priori </w:t>
      </w:r>
      <w:r w:rsidR="009B155B" w:rsidRPr="00D006E5">
        <w:rPr>
          <w:rFonts w:ascii="Arial" w:eastAsia="Times New Roman" w:hAnsi="Arial" w:cs="Arial"/>
          <w:sz w:val="20"/>
          <w:szCs w:val="20"/>
        </w:rPr>
        <w:t xml:space="preserve">proches </w:t>
      </w:r>
      <w:r w:rsidR="00E1114A" w:rsidRPr="00D006E5">
        <w:rPr>
          <w:rFonts w:ascii="Arial" w:eastAsia="Times New Roman" w:hAnsi="Arial" w:cs="Arial"/>
          <w:sz w:val="20"/>
          <w:szCs w:val="20"/>
        </w:rPr>
        <w:t>de ce que l’on qualifie aujourd’hui de pédagogie inversée, mais au niveau universitaire</w:t>
      </w:r>
      <w:r w:rsidR="00D145ED" w:rsidRPr="00D006E5">
        <w:rPr>
          <w:rFonts w:ascii="Arial" w:eastAsia="Times New Roman" w:hAnsi="Arial" w:cs="Arial"/>
          <w:sz w:val="20"/>
          <w:szCs w:val="20"/>
        </w:rPr>
        <w:t xml:space="preserve"> et il faut les étudier de près pour </w:t>
      </w:r>
      <w:r w:rsidR="00D145ED" w:rsidRPr="00D006E5">
        <w:rPr>
          <w:rFonts w:ascii="Arial" w:eastAsia="Times New Roman" w:hAnsi="Arial" w:cs="Arial"/>
          <w:sz w:val="20"/>
          <w:szCs w:val="20"/>
        </w:rPr>
        <w:lastRenderedPageBreak/>
        <w:t>voir les leviers qui y sont exactement exploités</w:t>
      </w:r>
      <w:r w:rsidR="00E1114A" w:rsidRPr="00D006E5">
        <w:rPr>
          <w:rFonts w:ascii="Arial" w:eastAsia="Times New Roman" w:hAnsi="Arial" w:cs="Arial"/>
          <w:sz w:val="20"/>
          <w:szCs w:val="20"/>
        </w:rPr>
        <w:t xml:space="preserve"> (voir par exemple </w:t>
      </w:r>
      <w:hyperlink r:id="rId10" w:history="1">
        <w:r w:rsidR="00E1114A" w:rsidRPr="002839EB">
          <w:rPr>
            <w:rStyle w:val="Lienhypertexte"/>
            <w:rFonts w:ascii="Arial" w:eastAsia="Times New Roman" w:hAnsi="Arial" w:cs="Arial"/>
            <w:sz w:val="20"/>
            <w:szCs w:val="20"/>
          </w:rPr>
          <w:t xml:space="preserve">l’étude ICMI </w:t>
        </w:r>
        <w:r w:rsidR="00D145ED" w:rsidRPr="002839EB">
          <w:rPr>
            <w:rStyle w:val="Lienhypertexte"/>
            <w:rFonts w:ascii="Arial" w:eastAsia="Times New Roman" w:hAnsi="Arial" w:cs="Arial"/>
            <w:sz w:val="20"/>
            <w:szCs w:val="20"/>
          </w:rPr>
          <w:t xml:space="preserve">de </w:t>
        </w:r>
        <w:r w:rsidR="002839EB" w:rsidRPr="002839EB">
          <w:rPr>
            <w:rStyle w:val="Lienhypertexte"/>
            <w:rFonts w:ascii="Arial" w:eastAsia="Times New Roman" w:hAnsi="Arial" w:cs="Arial"/>
            <w:sz w:val="20"/>
            <w:szCs w:val="20"/>
          </w:rPr>
          <w:t>2001</w:t>
        </w:r>
      </w:hyperlink>
      <w:r w:rsidR="00D145ED" w:rsidRPr="00D006E5">
        <w:rPr>
          <w:rFonts w:ascii="Arial" w:eastAsia="Times New Roman" w:hAnsi="Arial" w:cs="Arial"/>
          <w:sz w:val="20"/>
          <w:szCs w:val="20"/>
        </w:rPr>
        <w:t xml:space="preserve"> </w:t>
      </w:r>
      <w:r w:rsidR="00E1114A" w:rsidRPr="00D006E5">
        <w:rPr>
          <w:rFonts w:ascii="Arial" w:eastAsia="Times New Roman" w:hAnsi="Arial" w:cs="Arial"/>
          <w:sz w:val="20"/>
          <w:szCs w:val="20"/>
        </w:rPr>
        <w:t>sur l’enseignement universitaire). La transposition au niveau secondaire ne va pas du tout de soi</w:t>
      </w:r>
      <w:r w:rsidR="00D145ED" w:rsidRPr="00D006E5">
        <w:rPr>
          <w:rFonts w:ascii="Arial" w:eastAsia="Times New Roman" w:hAnsi="Arial" w:cs="Arial"/>
          <w:sz w:val="20"/>
          <w:szCs w:val="20"/>
        </w:rPr>
        <w:t>. Sa promotion risque d’être dangereuse</w:t>
      </w:r>
      <w:r w:rsidRPr="00D006E5">
        <w:rPr>
          <w:rFonts w:ascii="Arial" w:eastAsia="Times New Roman" w:hAnsi="Arial" w:cs="Arial"/>
          <w:sz w:val="20"/>
          <w:szCs w:val="20"/>
        </w:rPr>
        <w:t>, en mettant en avant des pratiques qui ne sont accessibles qu’à un petit nombre d’enseignants et de contextes, au détriment d’actions peut-être moins médiatiques mais qui pourraient avoir un impact beaucoup plus large et soutenir des dynamiques d’évolution bien plus réalistes</w:t>
      </w:r>
      <w:r w:rsidR="00E1114A" w:rsidRPr="00D006E5">
        <w:rPr>
          <w:rFonts w:ascii="Arial" w:eastAsia="Times New Roman" w:hAnsi="Arial" w:cs="Arial"/>
          <w:sz w:val="20"/>
          <w:szCs w:val="20"/>
        </w:rPr>
        <w:t xml:space="preserve">. </w:t>
      </w:r>
      <w:r w:rsidRPr="00D006E5">
        <w:rPr>
          <w:rFonts w:ascii="Arial" w:eastAsia="Times New Roman" w:hAnsi="Arial" w:cs="Arial"/>
          <w:sz w:val="20"/>
          <w:szCs w:val="20"/>
        </w:rPr>
        <w:t>On ne peut envisager de promouvoir de telles pédagogies sans poser et gérer la question des</w:t>
      </w:r>
      <w:r w:rsidR="009B155B" w:rsidRPr="00D006E5">
        <w:rPr>
          <w:rFonts w:ascii="Arial" w:eastAsia="Times New Roman" w:hAnsi="Arial" w:cs="Arial"/>
          <w:sz w:val="20"/>
          <w:szCs w:val="20"/>
        </w:rPr>
        <w:t xml:space="preserve"> ressources</w:t>
      </w:r>
      <w:r w:rsidRPr="00D006E5">
        <w:rPr>
          <w:rFonts w:ascii="Arial" w:eastAsia="Times New Roman" w:hAnsi="Arial" w:cs="Arial"/>
          <w:sz w:val="20"/>
          <w:szCs w:val="20"/>
        </w:rPr>
        <w:t>, leur conception, réalisation et dissémination, sans évaluer le</w:t>
      </w:r>
      <w:r w:rsidR="00C74850" w:rsidRPr="00D006E5">
        <w:rPr>
          <w:rFonts w:ascii="Arial" w:eastAsia="Times New Roman" w:hAnsi="Arial" w:cs="Arial"/>
          <w:sz w:val="20"/>
          <w:szCs w:val="20"/>
        </w:rPr>
        <w:t xml:space="preserve"> travail requis des enseignants pour mettre en place une telle pédagogie</w:t>
      </w:r>
      <w:r w:rsidRPr="00D006E5">
        <w:rPr>
          <w:rFonts w:ascii="Arial" w:eastAsia="Times New Roman" w:hAnsi="Arial" w:cs="Arial"/>
          <w:sz w:val="20"/>
          <w:szCs w:val="20"/>
        </w:rPr>
        <w:t xml:space="preserve"> qui risque d’être dramatiquement sous-estimé, l</w:t>
      </w:r>
      <w:r w:rsidR="00C74850" w:rsidRPr="00D006E5">
        <w:rPr>
          <w:rFonts w:ascii="Arial" w:eastAsia="Times New Roman" w:hAnsi="Arial" w:cs="Arial"/>
          <w:sz w:val="20"/>
          <w:szCs w:val="20"/>
        </w:rPr>
        <w:t>es conditions d’implémentation</w:t>
      </w:r>
      <w:r w:rsidR="00236583" w:rsidRPr="00D006E5">
        <w:rPr>
          <w:rFonts w:ascii="Arial" w:eastAsia="Times New Roman" w:hAnsi="Arial" w:cs="Arial"/>
          <w:sz w:val="20"/>
          <w:szCs w:val="20"/>
        </w:rPr>
        <w:t>, et le risque d’aggraver les inégalités scolaires</w:t>
      </w:r>
      <w:r w:rsidRPr="00D006E5">
        <w:rPr>
          <w:rFonts w:ascii="Arial" w:eastAsia="Times New Roman" w:hAnsi="Arial" w:cs="Arial"/>
          <w:sz w:val="20"/>
          <w:szCs w:val="20"/>
        </w:rPr>
        <w:t xml:space="preserve">. Il </w:t>
      </w:r>
      <w:r w:rsidR="00236583" w:rsidRPr="00D006E5">
        <w:rPr>
          <w:rFonts w:ascii="Arial" w:eastAsia="Times New Roman" w:hAnsi="Arial" w:cs="Arial"/>
          <w:sz w:val="20"/>
          <w:szCs w:val="20"/>
        </w:rPr>
        <w:t>ne faut pas oublier</w:t>
      </w:r>
      <w:r w:rsidRPr="00D006E5">
        <w:rPr>
          <w:rFonts w:ascii="Arial" w:eastAsia="Times New Roman" w:hAnsi="Arial" w:cs="Arial"/>
          <w:sz w:val="20"/>
          <w:szCs w:val="20"/>
        </w:rPr>
        <w:t xml:space="preserve"> qu’une des causes importantes d’échec dans les populations défavorisées est la non compréhension des codes</w:t>
      </w:r>
      <w:r w:rsidR="00236583" w:rsidRPr="00D006E5">
        <w:rPr>
          <w:rFonts w:ascii="Arial" w:eastAsia="Times New Roman" w:hAnsi="Arial" w:cs="Arial"/>
          <w:sz w:val="20"/>
          <w:szCs w:val="20"/>
        </w:rPr>
        <w:t xml:space="preserve"> et des </w:t>
      </w:r>
      <w:r w:rsidR="00D145ED" w:rsidRPr="00D006E5">
        <w:rPr>
          <w:rFonts w:ascii="Arial" w:eastAsia="Times New Roman" w:hAnsi="Arial" w:cs="Arial"/>
          <w:sz w:val="20"/>
          <w:szCs w:val="20"/>
        </w:rPr>
        <w:t xml:space="preserve">implicites des </w:t>
      </w:r>
      <w:r w:rsidR="00236583" w:rsidRPr="00D006E5">
        <w:rPr>
          <w:rFonts w:ascii="Arial" w:eastAsia="Times New Roman" w:hAnsi="Arial" w:cs="Arial"/>
          <w:sz w:val="20"/>
          <w:szCs w:val="20"/>
        </w:rPr>
        <w:t xml:space="preserve">jeux scolaires, comme le montrent régulièrement les travaux de </w:t>
      </w:r>
      <w:hyperlink r:id="rId11" w:history="1">
        <w:r w:rsidR="00236583" w:rsidRPr="00D078AA">
          <w:rPr>
            <w:rStyle w:val="Lienhypertexte"/>
            <w:rFonts w:ascii="Arial" w:eastAsia="Times New Roman" w:hAnsi="Arial" w:cs="Arial"/>
            <w:sz w:val="20"/>
            <w:szCs w:val="20"/>
          </w:rPr>
          <w:t>l’équipe ESC</w:t>
        </w:r>
        <w:r w:rsidR="00A455A8" w:rsidRPr="00D078AA">
          <w:rPr>
            <w:rStyle w:val="Lienhypertexte"/>
            <w:rFonts w:ascii="Arial" w:eastAsia="Times New Roman" w:hAnsi="Arial" w:cs="Arial"/>
            <w:sz w:val="20"/>
            <w:szCs w:val="20"/>
          </w:rPr>
          <w:t>OL de Paris 8</w:t>
        </w:r>
      </w:hyperlink>
      <w:r w:rsidR="00A455A8" w:rsidRPr="00D006E5">
        <w:rPr>
          <w:rFonts w:ascii="Arial" w:eastAsia="Times New Roman" w:hAnsi="Arial" w:cs="Arial"/>
          <w:sz w:val="20"/>
          <w:szCs w:val="20"/>
        </w:rPr>
        <w:t>. Il y a des</w:t>
      </w:r>
      <w:r w:rsidR="00236583" w:rsidRPr="00D006E5">
        <w:rPr>
          <w:rFonts w:ascii="Arial" w:eastAsia="Times New Roman" w:hAnsi="Arial" w:cs="Arial"/>
          <w:sz w:val="20"/>
          <w:szCs w:val="20"/>
        </w:rPr>
        <w:t xml:space="preserve"> façons plus accessibles et moins risquées d’exploiter les potentialités du numérique pour l’apprentissage et l’enseignement des maths. </w:t>
      </w:r>
    </w:p>
    <w:p w14:paraId="2B6D7476" w14:textId="63CA02F6" w:rsidR="00236583" w:rsidRPr="00D078AA" w:rsidRDefault="00E626CA" w:rsidP="00D078AA">
      <w:pPr>
        <w:spacing w:before="200" w:after="60"/>
        <w:jc w:val="both"/>
        <w:rPr>
          <w:rFonts w:ascii="Arial" w:eastAsia="Times New Roman" w:hAnsi="Arial" w:cs="Arial"/>
          <w:i/>
          <w:sz w:val="20"/>
          <w:szCs w:val="20"/>
        </w:rPr>
      </w:pPr>
      <w:r w:rsidRPr="00D078AA">
        <w:rPr>
          <w:rFonts w:ascii="Arial" w:eastAsia="Times New Roman" w:hAnsi="Arial" w:cs="Arial"/>
          <w:i/>
          <w:sz w:val="20"/>
          <w:szCs w:val="20"/>
        </w:rPr>
        <w:t xml:space="preserve">Le numérique et une didactique plus </w:t>
      </w:r>
      <w:r w:rsidR="00D078AA">
        <w:rPr>
          <w:rFonts w:ascii="Arial" w:eastAsia="Times New Roman" w:hAnsi="Arial" w:cs="Arial"/>
          <w:i/>
          <w:sz w:val="20"/>
          <w:szCs w:val="20"/>
        </w:rPr>
        <w:t>imaginative</w:t>
      </w:r>
    </w:p>
    <w:p w14:paraId="2119A930" w14:textId="2D03A69C" w:rsidR="00E626CA" w:rsidRPr="00D006E5" w:rsidRDefault="00CC5E9C" w:rsidP="00D006E5">
      <w:pPr>
        <w:spacing w:after="60"/>
        <w:jc w:val="both"/>
        <w:rPr>
          <w:rFonts w:ascii="Arial" w:eastAsia="Times New Roman" w:hAnsi="Arial" w:cs="Arial"/>
          <w:sz w:val="20"/>
          <w:szCs w:val="20"/>
        </w:rPr>
      </w:pPr>
      <w:r w:rsidRPr="00D006E5">
        <w:rPr>
          <w:rFonts w:ascii="Arial" w:eastAsia="Times New Roman" w:hAnsi="Arial" w:cs="Arial"/>
          <w:sz w:val="20"/>
          <w:szCs w:val="20"/>
        </w:rPr>
        <w:t>Je n’aime pas trop la façon dont</w:t>
      </w:r>
      <w:r w:rsidR="00E626CA" w:rsidRPr="00D006E5">
        <w:rPr>
          <w:rFonts w:ascii="Arial" w:eastAsia="Times New Roman" w:hAnsi="Arial" w:cs="Arial"/>
          <w:sz w:val="20"/>
          <w:szCs w:val="20"/>
        </w:rPr>
        <w:t xml:space="preserve"> la question est formulée, ce n’est pas une question à mon avis de didactique plus imaginative</w:t>
      </w:r>
      <w:r w:rsidR="00236583" w:rsidRPr="00D006E5">
        <w:rPr>
          <w:rFonts w:ascii="Arial" w:eastAsia="Times New Roman" w:hAnsi="Arial" w:cs="Arial"/>
          <w:sz w:val="20"/>
          <w:szCs w:val="20"/>
        </w:rPr>
        <w:t xml:space="preserve"> mais de didactique sachant exploiter les</w:t>
      </w:r>
      <w:r w:rsidR="00E626CA" w:rsidRPr="00D006E5">
        <w:rPr>
          <w:rFonts w:ascii="Arial" w:eastAsia="Times New Roman" w:hAnsi="Arial" w:cs="Arial"/>
          <w:sz w:val="20"/>
          <w:szCs w:val="20"/>
        </w:rPr>
        <w:t xml:space="preserve"> nouveaux moyens</w:t>
      </w:r>
      <w:r w:rsidR="00236583" w:rsidRPr="00D006E5">
        <w:rPr>
          <w:rFonts w:ascii="Arial" w:eastAsia="Times New Roman" w:hAnsi="Arial" w:cs="Arial"/>
          <w:sz w:val="20"/>
          <w:szCs w:val="20"/>
        </w:rPr>
        <w:t xml:space="preserve"> dont elle dispose, en s’appuyant dans ce domaine comme dans tous les autres sur les connaissances capitalisées par le biais de la recherche et des expérimentations contrôlées. </w:t>
      </w:r>
      <w:r w:rsidR="0006153F" w:rsidRPr="00D006E5">
        <w:rPr>
          <w:rFonts w:ascii="Arial" w:eastAsia="Times New Roman" w:hAnsi="Arial" w:cs="Arial"/>
          <w:sz w:val="20"/>
          <w:szCs w:val="20"/>
        </w:rPr>
        <w:t xml:space="preserve">Et il y en a ! </w:t>
      </w:r>
      <w:r w:rsidR="00236583" w:rsidRPr="00D006E5">
        <w:rPr>
          <w:rFonts w:ascii="Arial" w:eastAsia="Times New Roman" w:hAnsi="Arial" w:cs="Arial"/>
          <w:sz w:val="20"/>
          <w:szCs w:val="20"/>
        </w:rPr>
        <w:t>Je comprends</w:t>
      </w:r>
      <w:r w:rsidRPr="00D006E5">
        <w:rPr>
          <w:rFonts w:ascii="Arial" w:eastAsia="Times New Roman" w:hAnsi="Arial" w:cs="Arial"/>
          <w:sz w:val="20"/>
          <w:szCs w:val="20"/>
        </w:rPr>
        <w:t xml:space="preserve"> que</w:t>
      </w:r>
      <w:r w:rsidR="00236583" w:rsidRPr="00D006E5">
        <w:rPr>
          <w:rFonts w:ascii="Arial" w:eastAsia="Times New Roman" w:hAnsi="Arial" w:cs="Arial"/>
          <w:sz w:val="20"/>
          <w:szCs w:val="20"/>
        </w:rPr>
        <w:t>, s’agissant du numérique, du fait des évolutions rapides qui en résultent dans l’accès à l’information, dans les modes de communication et d’interaction, dans les stratégies cognitives, on accorde à l’innovation plus d’attention que dans d’autres domaines. Ma</w:t>
      </w:r>
      <w:r w:rsidR="0006153F" w:rsidRPr="00D006E5">
        <w:rPr>
          <w:rFonts w:ascii="Arial" w:eastAsia="Times New Roman" w:hAnsi="Arial" w:cs="Arial"/>
          <w:sz w:val="20"/>
          <w:szCs w:val="20"/>
        </w:rPr>
        <w:t>is si l’on en reste au niveau du soutien à</w:t>
      </w:r>
      <w:r w:rsidR="00236583" w:rsidRPr="00D006E5">
        <w:rPr>
          <w:rFonts w:ascii="Arial" w:eastAsia="Times New Roman" w:hAnsi="Arial" w:cs="Arial"/>
          <w:sz w:val="20"/>
          <w:szCs w:val="20"/>
        </w:rPr>
        <w:t xml:space="preserve"> l’innovation</w:t>
      </w:r>
      <w:r w:rsidRPr="00D006E5">
        <w:rPr>
          <w:rFonts w:ascii="Arial" w:eastAsia="Times New Roman" w:hAnsi="Arial" w:cs="Arial"/>
          <w:sz w:val="20"/>
          <w:szCs w:val="20"/>
        </w:rPr>
        <w:t>, au repérage et à la diffusion de ce qui change marcher, sans généralement se donner les moyens de savoir jusqu’à quel point cela marche, pourquoi et sous quelles conditions</w:t>
      </w:r>
      <w:r w:rsidR="00236583" w:rsidRPr="00D006E5">
        <w:rPr>
          <w:rFonts w:ascii="Arial" w:eastAsia="Times New Roman" w:hAnsi="Arial" w:cs="Arial"/>
          <w:sz w:val="20"/>
          <w:szCs w:val="20"/>
        </w:rPr>
        <w:t xml:space="preserve">, </w:t>
      </w:r>
      <w:r w:rsidR="0006153F" w:rsidRPr="00D006E5">
        <w:rPr>
          <w:rFonts w:ascii="Arial" w:eastAsia="Times New Roman" w:hAnsi="Arial" w:cs="Arial"/>
          <w:sz w:val="20"/>
          <w:szCs w:val="20"/>
        </w:rPr>
        <w:t xml:space="preserve">il y a peu de chances de voir changer les choses de façon durable. </w:t>
      </w:r>
    </w:p>
    <w:p w14:paraId="6C9C5720" w14:textId="7CDF9A93" w:rsidR="0006153F" w:rsidRPr="00D078AA" w:rsidRDefault="0006153F" w:rsidP="00D078AA">
      <w:pPr>
        <w:spacing w:before="200" w:after="60"/>
        <w:jc w:val="both"/>
        <w:rPr>
          <w:rFonts w:ascii="Arial" w:eastAsia="Times New Roman" w:hAnsi="Arial" w:cs="Arial"/>
          <w:i/>
          <w:sz w:val="20"/>
          <w:szCs w:val="20"/>
        </w:rPr>
      </w:pPr>
      <w:r w:rsidRPr="00D078AA">
        <w:rPr>
          <w:rFonts w:ascii="Arial" w:eastAsia="Times New Roman" w:hAnsi="Arial" w:cs="Arial"/>
          <w:i/>
          <w:sz w:val="20"/>
          <w:szCs w:val="20"/>
        </w:rPr>
        <w:t xml:space="preserve">Le </w:t>
      </w:r>
      <w:r w:rsidR="00E637C2" w:rsidRPr="00D078AA">
        <w:rPr>
          <w:rFonts w:ascii="Arial" w:eastAsia="Times New Roman" w:hAnsi="Arial" w:cs="Arial"/>
          <w:i/>
          <w:sz w:val="20"/>
          <w:szCs w:val="20"/>
        </w:rPr>
        <w:t xml:space="preserve">dynamisme du </w:t>
      </w:r>
      <w:r w:rsidR="00D078AA">
        <w:rPr>
          <w:rFonts w:ascii="Arial" w:eastAsia="Times New Roman" w:hAnsi="Arial" w:cs="Arial"/>
          <w:i/>
          <w:sz w:val="20"/>
          <w:szCs w:val="20"/>
        </w:rPr>
        <w:t>périscolaire</w:t>
      </w:r>
    </w:p>
    <w:p w14:paraId="44C749C1" w14:textId="0DF7EA0F" w:rsidR="00E1114A" w:rsidRPr="00D006E5" w:rsidRDefault="0006153F" w:rsidP="00D006E5">
      <w:pPr>
        <w:spacing w:after="60"/>
        <w:jc w:val="both"/>
        <w:rPr>
          <w:rFonts w:ascii="Arial" w:eastAsia="Times New Roman" w:hAnsi="Arial" w:cs="Arial"/>
          <w:sz w:val="20"/>
          <w:szCs w:val="20"/>
        </w:rPr>
      </w:pPr>
      <w:r w:rsidRPr="00D006E5">
        <w:rPr>
          <w:rFonts w:ascii="Arial" w:eastAsia="Times New Roman" w:hAnsi="Arial" w:cs="Arial"/>
          <w:sz w:val="20"/>
          <w:szCs w:val="20"/>
        </w:rPr>
        <w:t>Nous avons la ch</w:t>
      </w:r>
      <w:r w:rsidR="00D145ED" w:rsidRPr="00D006E5">
        <w:rPr>
          <w:rFonts w:ascii="Arial" w:eastAsia="Times New Roman" w:hAnsi="Arial" w:cs="Arial"/>
          <w:sz w:val="20"/>
          <w:szCs w:val="20"/>
        </w:rPr>
        <w:t>ance en France d’avoir</w:t>
      </w:r>
      <w:r w:rsidR="00796487">
        <w:rPr>
          <w:rFonts w:ascii="Arial" w:eastAsia="Times New Roman" w:hAnsi="Arial" w:cs="Arial"/>
          <w:sz w:val="20"/>
          <w:szCs w:val="20"/>
        </w:rPr>
        <w:t xml:space="preserve"> </w:t>
      </w:r>
      <w:r w:rsidRPr="00D006E5">
        <w:rPr>
          <w:rFonts w:ascii="Arial" w:eastAsia="Times New Roman" w:hAnsi="Arial" w:cs="Arial"/>
          <w:sz w:val="20"/>
          <w:szCs w:val="20"/>
        </w:rPr>
        <w:t>un ensemble très riche d’activités périscolaires en mathématiques et un investissement important de la communauté mathématique dans des actions de popularisation des mathématiques. De plus, contrairement à d’autres pays, ces actions ne se limitent pas à la recherche de talents mathématiques, mais beaucoup d’entre elles visent à susciter l’intérêt pour les mathématiques de toutes les catégories d’élèves. Elles sont plus orientées vers une vision collaborative que compétitive des mathématiques. C’est une chance et il faut soutenir bien sûr ces activités, les rendre visibles et essayer de faire qu’elles soient accessibles à un nombre croissant d’élèves</w:t>
      </w:r>
      <w:r w:rsidR="00335A92" w:rsidRPr="00D006E5">
        <w:rPr>
          <w:rFonts w:ascii="Arial" w:eastAsia="Times New Roman" w:hAnsi="Arial" w:cs="Arial"/>
          <w:sz w:val="20"/>
          <w:szCs w:val="20"/>
        </w:rPr>
        <w:t xml:space="preserve">, car elles peuvent contribuer à susciter l’intérêt pour les maths, donner confiance aux élèves dans leur capacité d’en faire, les mettre en contact avec des questions plus proches des mathématiques actuelles et des applications actuelles des mathématiques, donner une autre vision des maths en relâchant les contraintes. </w:t>
      </w:r>
      <w:r w:rsidR="00E637C2" w:rsidRPr="00D006E5">
        <w:rPr>
          <w:rFonts w:ascii="Arial" w:eastAsia="Times New Roman" w:hAnsi="Arial" w:cs="Arial"/>
          <w:sz w:val="20"/>
          <w:szCs w:val="20"/>
        </w:rPr>
        <w:t xml:space="preserve">Elles mettent en jeu des pédagogies différentes qu’il est intéressant d’essayer de caractériser et dont il est intéressant d’étudier les effets. </w:t>
      </w:r>
      <w:r w:rsidR="00335A92" w:rsidRPr="00D006E5">
        <w:rPr>
          <w:rFonts w:ascii="Arial" w:eastAsia="Times New Roman" w:hAnsi="Arial" w:cs="Arial"/>
          <w:sz w:val="20"/>
          <w:szCs w:val="20"/>
        </w:rPr>
        <w:t xml:space="preserve">C’est dans cet esprit que l’ADIREM a décidé de refonder la </w:t>
      </w:r>
      <w:hyperlink r:id="rId12" w:history="1">
        <w:r w:rsidR="00335A92" w:rsidRPr="00D078AA">
          <w:rPr>
            <w:rStyle w:val="Lienhypertexte"/>
            <w:rFonts w:ascii="Arial" w:eastAsia="Times New Roman" w:hAnsi="Arial" w:cs="Arial"/>
            <w:sz w:val="20"/>
            <w:szCs w:val="20"/>
          </w:rPr>
          <w:t>commission inter-IREM Rallyes et Jeux</w:t>
        </w:r>
      </w:hyperlink>
      <w:r w:rsidR="00335A92" w:rsidRPr="00D006E5">
        <w:rPr>
          <w:rFonts w:ascii="Arial" w:eastAsia="Times New Roman" w:hAnsi="Arial" w:cs="Arial"/>
          <w:sz w:val="20"/>
          <w:szCs w:val="20"/>
        </w:rPr>
        <w:t xml:space="preserve"> et procède actuellement à un recensement de toutes les activités de popularisation des mathématiques menées dans les IREM</w:t>
      </w:r>
      <w:r w:rsidR="00E637C2" w:rsidRPr="00D006E5">
        <w:rPr>
          <w:rFonts w:ascii="Arial" w:eastAsia="Times New Roman" w:hAnsi="Arial" w:cs="Arial"/>
          <w:sz w:val="20"/>
          <w:szCs w:val="20"/>
        </w:rPr>
        <w:t xml:space="preserve"> et que des recherches se sont mises en place autour des stages Hippocampe</w:t>
      </w:r>
      <w:r w:rsidR="00335A92" w:rsidRPr="00D006E5">
        <w:rPr>
          <w:rFonts w:ascii="Arial" w:eastAsia="Times New Roman" w:hAnsi="Arial" w:cs="Arial"/>
          <w:sz w:val="20"/>
          <w:szCs w:val="20"/>
        </w:rPr>
        <w:t xml:space="preserve">. </w:t>
      </w:r>
      <w:r w:rsidR="00A455A8" w:rsidRPr="00D006E5">
        <w:rPr>
          <w:rFonts w:ascii="Arial" w:eastAsia="Times New Roman" w:hAnsi="Arial" w:cs="Arial"/>
          <w:sz w:val="20"/>
          <w:szCs w:val="20"/>
        </w:rPr>
        <w:t>Oui bien sûr, il faut</w:t>
      </w:r>
      <w:r w:rsidR="00D145ED" w:rsidRPr="00D006E5">
        <w:rPr>
          <w:rFonts w:ascii="Arial" w:eastAsia="Times New Roman" w:hAnsi="Arial" w:cs="Arial"/>
          <w:sz w:val="20"/>
          <w:szCs w:val="20"/>
        </w:rPr>
        <w:t xml:space="preserve"> en parler dans les ESPE.</w:t>
      </w:r>
      <w:r w:rsidR="00E637C2" w:rsidRPr="00D006E5">
        <w:rPr>
          <w:rFonts w:ascii="Arial" w:eastAsia="Times New Roman" w:hAnsi="Arial" w:cs="Arial"/>
          <w:sz w:val="20"/>
          <w:szCs w:val="20"/>
        </w:rPr>
        <w:t xml:space="preserve"> </w:t>
      </w:r>
      <w:r w:rsidRPr="00D006E5">
        <w:rPr>
          <w:rFonts w:ascii="Arial" w:eastAsia="Times New Roman" w:hAnsi="Arial" w:cs="Arial"/>
          <w:sz w:val="20"/>
          <w:szCs w:val="20"/>
        </w:rPr>
        <w:t>Mais, ce n’est cependant pas dans ces actions, à la périphérie du système, qu’il faut chercher la solution principale aux problèmes de l’enseignement des mathématiques, et il faut éviter que s’installe pour les élèves, une cassure entre des activités périscolaires qui donneraient une image attrayante et valorisante de l’activité mathématique</w:t>
      </w:r>
      <w:r w:rsidR="00335A92" w:rsidRPr="00D006E5">
        <w:rPr>
          <w:rFonts w:ascii="Arial" w:eastAsia="Times New Roman" w:hAnsi="Arial" w:cs="Arial"/>
          <w:sz w:val="20"/>
          <w:szCs w:val="20"/>
        </w:rPr>
        <w:t xml:space="preserve"> et un enseignement qui, lui, serait à l’opposé. Comme le dit Luc</w:t>
      </w:r>
      <w:r w:rsidR="00D145ED" w:rsidRPr="00D006E5">
        <w:rPr>
          <w:rFonts w:ascii="Arial" w:eastAsia="Times New Roman" w:hAnsi="Arial" w:cs="Arial"/>
          <w:sz w:val="20"/>
          <w:szCs w:val="20"/>
        </w:rPr>
        <w:t xml:space="preserve"> Trouche</w:t>
      </w:r>
      <w:r w:rsidR="00335A92" w:rsidRPr="00D006E5">
        <w:rPr>
          <w:rFonts w:ascii="Arial" w:eastAsia="Times New Roman" w:hAnsi="Arial" w:cs="Arial"/>
          <w:sz w:val="20"/>
          <w:szCs w:val="20"/>
        </w:rPr>
        <w:t xml:space="preserve">, il faut travailler sur le cœur de l’enseignement, et ce cœur c’est la classe au quotidien. </w:t>
      </w:r>
    </w:p>
    <w:p w14:paraId="58700479" w14:textId="5D46D2C0" w:rsidR="006D55D3" w:rsidRPr="00D078AA" w:rsidRDefault="00D078AA" w:rsidP="00D078AA">
      <w:pPr>
        <w:spacing w:before="200" w:after="60"/>
        <w:jc w:val="both"/>
        <w:rPr>
          <w:rFonts w:ascii="Arial" w:eastAsia="Times New Roman" w:hAnsi="Arial" w:cs="Arial"/>
          <w:i/>
          <w:sz w:val="20"/>
          <w:szCs w:val="20"/>
        </w:rPr>
      </w:pPr>
      <w:r>
        <w:rPr>
          <w:rFonts w:ascii="Arial" w:eastAsia="Times New Roman" w:hAnsi="Arial" w:cs="Arial"/>
          <w:i/>
          <w:sz w:val="20"/>
          <w:szCs w:val="20"/>
        </w:rPr>
        <w:t>Les programmes</w:t>
      </w:r>
    </w:p>
    <w:p w14:paraId="7A1BDAAE" w14:textId="2B3F905C" w:rsidR="006D55D3" w:rsidRPr="00D006E5" w:rsidRDefault="006D55D3" w:rsidP="00D006E5">
      <w:pPr>
        <w:spacing w:after="60"/>
        <w:jc w:val="both"/>
        <w:rPr>
          <w:rFonts w:ascii="Arial" w:eastAsia="Times New Roman" w:hAnsi="Arial" w:cs="Arial"/>
          <w:sz w:val="20"/>
          <w:szCs w:val="20"/>
        </w:rPr>
      </w:pPr>
      <w:r w:rsidRPr="00D006E5">
        <w:rPr>
          <w:rFonts w:ascii="Arial" w:eastAsia="Times New Roman" w:hAnsi="Arial" w:cs="Arial"/>
          <w:sz w:val="20"/>
          <w:szCs w:val="20"/>
        </w:rPr>
        <w:t>Il est sûr que nos programmes sont très détaillés quand on les compare aux programmes de pas mal de pays et qu’en principe ils cadrent fortement l’enseignement</w:t>
      </w:r>
      <w:r w:rsidR="00CC5E9C" w:rsidRPr="00D006E5">
        <w:rPr>
          <w:rFonts w:ascii="Arial" w:eastAsia="Times New Roman" w:hAnsi="Arial" w:cs="Arial"/>
          <w:sz w:val="20"/>
          <w:szCs w:val="20"/>
        </w:rPr>
        <w:t>. Ceci n’empêche cependant pas d</w:t>
      </w:r>
      <w:r w:rsidRPr="00D006E5">
        <w:rPr>
          <w:rFonts w:ascii="Arial" w:eastAsia="Times New Roman" w:hAnsi="Arial" w:cs="Arial"/>
          <w:sz w:val="20"/>
          <w:szCs w:val="20"/>
        </w:rPr>
        <w:t>es différences</w:t>
      </w:r>
      <w:r w:rsidR="00CC5E9C" w:rsidRPr="00D006E5">
        <w:rPr>
          <w:rFonts w:ascii="Arial" w:eastAsia="Times New Roman" w:hAnsi="Arial" w:cs="Arial"/>
          <w:sz w:val="20"/>
          <w:szCs w:val="20"/>
        </w:rPr>
        <w:t xml:space="preserve"> importantes</w:t>
      </w:r>
      <w:r w:rsidRPr="00D006E5">
        <w:rPr>
          <w:rFonts w:ascii="Arial" w:eastAsia="Times New Roman" w:hAnsi="Arial" w:cs="Arial"/>
          <w:sz w:val="20"/>
          <w:szCs w:val="20"/>
        </w:rPr>
        <w:t xml:space="preserve"> entre établissements</w:t>
      </w:r>
      <w:r w:rsidR="00A455A8" w:rsidRPr="00D006E5">
        <w:rPr>
          <w:rFonts w:ascii="Arial" w:eastAsia="Times New Roman" w:hAnsi="Arial" w:cs="Arial"/>
          <w:sz w:val="20"/>
          <w:szCs w:val="20"/>
        </w:rPr>
        <w:t xml:space="preserve"> et même entre classes au sein de certains établissements</w:t>
      </w:r>
      <w:r w:rsidRPr="00D006E5">
        <w:rPr>
          <w:rFonts w:ascii="Arial" w:eastAsia="Times New Roman" w:hAnsi="Arial" w:cs="Arial"/>
          <w:sz w:val="20"/>
          <w:szCs w:val="20"/>
        </w:rPr>
        <w:t>. Mais ce n’est pas en changeant les programmes que l’on va changer la dimension cumulative des mathématiques, au moins pour ce qui concerne la scolarité</w:t>
      </w:r>
      <w:r w:rsidR="00C20475" w:rsidRPr="00D006E5">
        <w:rPr>
          <w:rFonts w:ascii="Arial" w:eastAsia="Times New Roman" w:hAnsi="Arial" w:cs="Arial"/>
          <w:sz w:val="20"/>
          <w:szCs w:val="20"/>
        </w:rPr>
        <w:t xml:space="preserve"> de base. Il me semble qu’il faut aussi prendre acte de</w:t>
      </w:r>
      <w:r w:rsidRPr="00D006E5">
        <w:rPr>
          <w:rFonts w:ascii="Arial" w:eastAsia="Times New Roman" w:hAnsi="Arial" w:cs="Arial"/>
          <w:sz w:val="20"/>
          <w:szCs w:val="20"/>
        </w:rPr>
        <w:t xml:space="preserve"> </w:t>
      </w:r>
      <w:r w:rsidR="00C20475" w:rsidRPr="00D006E5">
        <w:rPr>
          <w:rFonts w:ascii="Arial" w:eastAsia="Times New Roman" w:hAnsi="Arial" w:cs="Arial"/>
          <w:sz w:val="20"/>
          <w:szCs w:val="20"/>
        </w:rPr>
        <w:t>la diversification positive des programmes du lycée suivant les filières, qui ne s’opère pas par simple réduction des programmes de la série S, et aussi du fait que nous avons su garder un certain équilibre entre une vision en termes de contenus et une vision en termes de compétences, comparativement à d’autres</w:t>
      </w:r>
      <w:r w:rsidR="00A455A8" w:rsidRPr="00D006E5">
        <w:rPr>
          <w:rFonts w:ascii="Arial" w:eastAsia="Times New Roman" w:hAnsi="Arial" w:cs="Arial"/>
          <w:sz w:val="20"/>
          <w:szCs w:val="20"/>
        </w:rPr>
        <w:t xml:space="preserve"> pays</w:t>
      </w:r>
      <w:r w:rsidR="00C20475" w:rsidRPr="00D006E5">
        <w:rPr>
          <w:rFonts w:ascii="Arial" w:eastAsia="Times New Roman" w:hAnsi="Arial" w:cs="Arial"/>
          <w:sz w:val="20"/>
          <w:szCs w:val="20"/>
        </w:rPr>
        <w:t>. Aujourd’hui, il me semble que, au moins pour le primaire et le collège, ce ne sont pas les changements de programmes qui sont prioritaires, même si effectivement on peut penser que ce serait bien d’aller vers moins de prescriptif et plus d’initiative pour les équipes enseignantes</w:t>
      </w:r>
      <w:r w:rsidR="00A455A8" w:rsidRPr="00D006E5">
        <w:rPr>
          <w:rFonts w:ascii="Arial" w:eastAsia="Times New Roman" w:hAnsi="Arial" w:cs="Arial"/>
          <w:sz w:val="20"/>
          <w:szCs w:val="20"/>
        </w:rPr>
        <w:t>, et s’il faut repenser le socle commun et son articulation avec les programmes et l’évaluation en fin de troisième. Mais il ne faut pas nier qu’il s’agit là</w:t>
      </w:r>
      <w:r w:rsidR="00C20475" w:rsidRPr="00D006E5">
        <w:rPr>
          <w:rFonts w:ascii="Arial" w:eastAsia="Times New Roman" w:hAnsi="Arial" w:cs="Arial"/>
          <w:sz w:val="20"/>
          <w:szCs w:val="20"/>
        </w:rPr>
        <w:t xml:space="preserve"> </w:t>
      </w:r>
      <w:r w:rsidR="00A455A8" w:rsidRPr="00D006E5">
        <w:rPr>
          <w:rFonts w:ascii="Arial" w:eastAsia="Times New Roman" w:hAnsi="Arial" w:cs="Arial"/>
          <w:sz w:val="20"/>
          <w:szCs w:val="20"/>
        </w:rPr>
        <w:t>d’</w:t>
      </w:r>
      <w:r w:rsidR="00C20475" w:rsidRPr="00D006E5">
        <w:rPr>
          <w:rFonts w:ascii="Arial" w:eastAsia="Times New Roman" w:hAnsi="Arial" w:cs="Arial"/>
          <w:sz w:val="20"/>
          <w:szCs w:val="20"/>
        </w:rPr>
        <w:t xml:space="preserve">un </w:t>
      </w:r>
      <w:r w:rsidR="00CC5E9C" w:rsidRPr="00D006E5">
        <w:rPr>
          <w:rFonts w:ascii="Arial" w:eastAsia="Times New Roman" w:hAnsi="Arial" w:cs="Arial"/>
          <w:sz w:val="20"/>
          <w:szCs w:val="20"/>
        </w:rPr>
        <w:t>véritable changement cultur</w:t>
      </w:r>
      <w:r w:rsidR="00A455A8" w:rsidRPr="00D006E5">
        <w:rPr>
          <w:rFonts w:ascii="Arial" w:eastAsia="Times New Roman" w:hAnsi="Arial" w:cs="Arial"/>
          <w:sz w:val="20"/>
          <w:szCs w:val="20"/>
        </w:rPr>
        <w:t>el qu’il faudra accompagner. I</w:t>
      </w:r>
      <w:r w:rsidR="00CC5E9C" w:rsidRPr="00D006E5">
        <w:rPr>
          <w:rFonts w:ascii="Arial" w:eastAsia="Times New Roman" w:hAnsi="Arial" w:cs="Arial"/>
          <w:sz w:val="20"/>
          <w:szCs w:val="20"/>
        </w:rPr>
        <w:t>l me semble aussi que, pour que ce soit positif, il faut que la conception du métier d’enseignant, des rapports hiérarchiques change, que tout cela devienne plus collaboratif et participatif. Il y a du chemin à faire.</w:t>
      </w:r>
      <w:r w:rsidR="00C20475" w:rsidRPr="00D006E5">
        <w:rPr>
          <w:rFonts w:ascii="Arial" w:eastAsia="Times New Roman" w:hAnsi="Arial" w:cs="Arial"/>
          <w:sz w:val="20"/>
          <w:szCs w:val="20"/>
        </w:rPr>
        <w:t xml:space="preserve"> </w:t>
      </w:r>
    </w:p>
    <w:p w14:paraId="001B7D80" w14:textId="39AA4E46" w:rsidR="00CC5E9C" w:rsidRPr="00D078AA" w:rsidRDefault="00CC5E9C" w:rsidP="00D078AA">
      <w:pPr>
        <w:spacing w:before="200" w:after="60"/>
        <w:jc w:val="both"/>
        <w:rPr>
          <w:rFonts w:ascii="Arial" w:eastAsia="Times New Roman" w:hAnsi="Arial" w:cs="Arial"/>
          <w:b/>
          <w:sz w:val="20"/>
          <w:szCs w:val="20"/>
        </w:rPr>
      </w:pPr>
      <w:r w:rsidRPr="00D078AA">
        <w:rPr>
          <w:rFonts w:ascii="Arial" w:eastAsia="Times New Roman" w:hAnsi="Arial" w:cs="Arial"/>
          <w:b/>
          <w:sz w:val="20"/>
          <w:szCs w:val="20"/>
        </w:rPr>
        <w:t>Autres points</w:t>
      </w:r>
    </w:p>
    <w:p w14:paraId="46C52F9F" w14:textId="568346B1" w:rsidR="00335A92" w:rsidRPr="00D078AA" w:rsidRDefault="00D078AA" w:rsidP="00D078AA">
      <w:pPr>
        <w:spacing w:before="200" w:after="60"/>
        <w:jc w:val="both"/>
        <w:rPr>
          <w:rFonts w:ascii="Arial" w:eastAsia="Times New Roman" w:hAnsi="Arial" w:cs="Arial"/>
          <w:i/>
          <w:sz w:val="20"/>
          <w:szCs w:val="20"/>
        </w:rPr>
      </w:pPr>
      <w:r>
        <w:rPr>
          <w:rFonts w:ascii="Arial" w:eastAsia="Times New Roman" w:hAnsi="Arial" w:cs="Arial"/>
          <w:i/>
          <w:sz w:val="20"/>
          <w:szCs w:val="20"/>
        </w:rPr>
        <w:t>L’évaluation</w:t>
      </w:r>
    </w:p>
    <w:p w14:paraId="15C0B8F6" w14:textId="4E95FD4E" w:rsidR="00335A92" w:rsidRPr="00764BC7" w:rsidRDefault="00335A92" w:rsidP="00D006E5">
      <w:pPr>
        <w:spacing w:after="60"/>
        <w:jc w:val="both"/>
        <w:rPr>
          <w:rFonts w:ascii="Arial" w:eastAsia="Times New Roman" w:hAnsi="Arial" w:cs="Arial"/>
          <w:sz w:val="20"/>
          <w:szCs w:val="20"/>
        </w:rPr>
      </w:pPr>
      <w:r w:rsidRPr="00764BC7">
        <w:rPr>
          <w:rFonts w:ascii="Arial" w:eastAsia="Times New Roman" w:hAnsi="Arial" w:cs="Arial"/>
          <w:sz w:val="20"/>
          <w:szCs w:val="20"/>
        </w:rPr>
        <w:t xml:space="preserve">Quoi qu’on en dise, nous sommes dans un pays où, comparativement à d’autres, la pression de l’évaluation reste encore limitée, et il faut veiller à ce que cette pression ne s’aggrave pas. On connaît bien aujourd’hui les effets pervers de programmes comme </w:t>
      </w:r>
      <w:r w:rsidR="00A455A8" w:rsidRPr="00764BC7">
        <w:rPr>
          <w:rFonts w:ascii="Arial" w:eastAsia="Times New Roman" w:hAnsi="Arial" w:cs="Arial"/>
          <w:sz w:val="20"/>
          <w:szCs w:val="20"/>
        </w:rPr>
        <w:t>« </w:t>
      </w:r>
      <w:hyperlink r:id="rId13" w:history="1">
        <w:r w:rsidRPr="00764BC7">
          <w:rPr>
            <w:rStyle w:val="Lienhypertexte"/>
            <w:rFonts w:ascii="Arial" w:eastAsia="Times New Roman" w:hAnsi="Arial" w:cs="Arial"/>
            <w:sz w:val="20"/>
            <w:szCs w:val="20"/>
          </w:rPr>
          <w:t>No Child Left Behind</w:t>
        </w:r>
      </w:hyperlink>
      <w:r w:rsidR="00A455A8" w:rsidRPr="00764BC7">
        <w:rPr>
          <w:rFonts w:ascii="Arial" w:eastAsia="Times New Roman" w:hAnsi="Arial" w:cs="Arial"/>
          <w:sz w:val="20"/>
          <w:szCs w:val="20"/>
        </w:rPr>
        <w:t> »</w:t>
      </w:r>
      <w:r w:rsidRPr="00764BC7">
        <w:rPr>
          <w:rFonts w:ascii="Arial" w:eastAsia="Times New Roman" w:hAnsi="Arial" w:cs="Arial"/>
          <w:sz w:val="20"/>
          <w:szCs w:val="20"/>
        </w:rPr>
        <w:t xml:space="preserve"> aux USA sur les </w:t>
      </w:r>
      <w:r w:rsidR="00A455A8" w:rsidRPr="00764BC7">
        <w:rPr>
          <w:rFonts w:ascii="Arial" w:eastAsia="Times New Roman" w:hAnsi="Arial" w:cs="Arial"/>
          <w:sz w:val="20"/>
          <w:szCs w:val="20"/>
        </w:rPr>
        <w:t>populations les plus fragiles. L</w:t>
      </w:r>
      <w:r w:rsidRPr="00764BC7">
        <w:rPr>
          <w:rFonts w:ascii="Arial" w:eastAsia="Times New Roman" w:hAnsi="Arial" w:cs="Arial"/>
          <w:sz w:val="20"/>
          <w:szCs w:val="20"/>
        </w:rPr>
        <w:t xml:space="preserve">es </w:t>
      </w:r>
      <w:r w:rsidR="00A455A8" w:rsidRPr="00764BC7">
        <w:rPr>
          <w:rFonts w:ascii="Arial" w:eastAsia="Times New Roman" w:hAnsi="Arial" w:cs="Arial"/>
          <w:sz w:val="20"/>
          <w:szCs w:val="20"/>
        </w:rPr>
        <w:t xml:space="preserve">résultats de </w:t>
      </w:r>
      <w:r w:rsidRPr="00764BC7">
        <w:rPr>
          <w:rFonts w:ascii="Arial" w:eastAsia="Times New Roman" w:hAnsi="Arial" w:cs="Arial"/>
          <w:sz w:val="20"/>
          <w:szCs w:val="20"/>
        </w:rPr>
        <w:t xml:space="preserve">projets européens </w:t>
      </w:r>
      <w:r w:rsidR="008A1C99" w:rsidRPr="00764BC7">
        <w:rPr>
          <w:rFonts w:ascii="Arial" w:eastAsia="Times New Roman" w:hAnsi="Arial" w:cs="Arial"/>
          <w:sz w:val="20"/>
          <w:szCs w:val="20"/>
        </w:rPr>
        <w:t xml:space="preserve">comme </w:t>
      </w:r>
      <w:hyperlink r:id="rId14" w:history="1">
        <w:r w:rsidR="008A1C99" w:rsidRPr="00764BC7">
          <w:rPr>
            <w:rStyle w:val="Lienhypertexte"/>
            <w:rFonts w:ascii="Arial" w:eastAsia="Times New Roman" w:hAnsi="Arial" w:cs="Arial"/>
            <w:sz w:val="20"/>
            <w:szCs w:val="20"/>
          </w:rPr>
          <w:t>Primas</w:t>
        </w:r>
      </w:hyperlink>
      <w:r w:rsidR="008A1C99" w:rsidRPr="00764BC7">
        <w:rPr>
          <w:rFonts w:ascii="Arial" w:eastAsia="Times New Roman" w:hAnsi="Arial" w:cs="Arial"/>
          <w:sz w:val="20"/>
          <w:szCs w:val="20"/>
        </w:rPr>
        <w:t xml:space="preserve"> et </w:t>
      </w:r>
      <w:hyperlink r:id="rId15" w:history="1">
        <w:r w:rsidR="008A1C99" w:rsidRPr="00764BC7">
          <w:rPr>
            <w:rStyle w:val="Lienhypertexte"/>
            <w:rFonts w:ascii="Arial" w:eastAsia="Times New Roman" w:hAnsi="Arial" w:cs="Arial"/>
            <w:sz w:val="20"/>
            <w:szCs w:val="20"/>
          </w:rPr>
          <w:t>Fibonacci</w:t>
        </w:r>
      </w:hyperlink>
      <w:r w:rsidR="008A1C99" w:rsidRPr="00764BC7">
        <w:rPr>
          <w:rFonts w:ascii="Arial" w:eastAsia="Times New Roman" w:hAnsi="Arial" w:cs="Arial"/>
          <w:sz w:val="20"/>
          <w:szCs w:val="20"/>
        </w:rPr>
        <w:t xml:space="preserve"> montrent bien aussi que les modes usuels d’évaluation sont des obstacles majeurs à la dissémination à grande échelle des démarches d’investigation dans beaucoup de pays européens. Nos modes d’évaluation certificative acceptent aussi</w:t>
      </w:r>
      <w:r w:rsidR="00A455A8" w:rsidRPr="00764BC7">
        <w:rPr>
          <w:rFonts w:ascii="Arial" w:eastAsia="Times New Roman" w:hAnsi="Arial" w:cs="Arial"/>
          <w:sz w:val="20"/>
          <w:szCs w:val="20"/>
        </w:rPr>
        <w:t>, comparativement à d’autres,</w:t>
      </w:r>
      <w:r w:rsidR="008A1C99" w:rsidRPr="00764BC7">
        <w:rPr>
          <w:rFonts w:ascii="Arial" w:eastAsia="Times New Roman" w:hAnsi="Arial" w:cs="Arial"/>
          <w:sz w:val="20"/>
          <w:szCs w:val="20"/>
        </w:rPr>
        <w:t xml:space="preserve"> une certaine diversité. </w:t>
      </w:r>
      <w:r w:rsidRPr="00764BC7">
        <w:rPr>
          <w:rFonts w:ascii="Arial" w:eastAsia="Times New Roman" w:hAnsi="Arial" w:cs="Arial"/>
          <w:sz w:val="20"/>
          <w:szCs w:val="20"/>
        </w:rPr>
        <w:t>Il n’en demeure pas moins qu’il faut agir sur notre rapport à l’évaluation.</w:t>
      </w:r>
      <w:r w:rsidR="008A1C99" w:rsidRPr="00764BC7">
        <w:rPr>
          <w:rFonts w:ascii="Arial" w:eastAsia="Times New Roman" w:hAnsi="Arial" w:cs="Arial"/>
          <w:sz w:val="20"/>
          <w:szCs w:val="20"/>
        </w:rPr>
        <w:t xml:space="preserve"> Même sans adhérer totalement aux positions d’André A</w:t>
      </w:r>
      <w:r w:rsidR="00647617" w:rsidRPr="00764BC7">
        <w:rPr>
          <w:rFonts w:ascii="Arial" w:eastAsia="Times New Roman" w:hAnsi="Arial" w:cs="Arial"/>
          <w:sz w:val="20"/>
          <w:szCs w:val="20"/>
        </w:rPr>
        <w:t>ntibi</w:t>
      </w:r>
      <w:r w:rsidR="00A763A8" w:rsidRPr="00764BC7">
        <w:rPr>
          <w:rFonts w:ascii="Arial" w:eastAsia="Times New Roman" w:hAnsi="Arial" w:cs="Arial"/>
          <w:sz w:val="20"/>
          <w:szCs w:val="20"/>
        </w:rPr>
        <w:t xml:space="preserve"> (qui a introduit la notion de </w:t>
      </w:r>
      <w:hyperlink r:id="rId16" w:history="1">
        <w:r w:rsidR="00A763A8" w:rsidRPr="00764BC7">
          <w:rPr>
            <w:rStyle w:val="Lienhypertexte"/>
            <w:rFonts w:ascii="Arial" w:eastAsia="Times New Roman" w:hAnsi="Arial" w:cs="Arial"/>
            <w:sz w:val="20"/>
            <w:szCs w:val="20"/>
          </w:rPr>
          <w:t>constante macabre</w:t>
        </w:r>
      </w:hyperlink>
      <w:r w:rsidR="00A763A8" w:rsidRPr="00764BC7">
        <w:rPr>
          <w:rFonts w:ascii="Arial" w:eastAsia="Times New Roman" w:hAnsi="Arial" w:cs="Arial"/>
          <w:sz w:val="20"/>
          <w:szCs w:val="20"/>
        </w:rPr>
        <w:t>, contraignant selon lui les évaluations scolaires du travail des élèves)</w:t>
      </w:r>
      <w:r w:rsidR="00647617" w:rsidRPr="00764BC7">
        <w:rPr>
          <w:rFonts w:ascii="Arial" w:eastAsia="Times New Roman" w:hAnsi="Arial" w:cs="Arial"/>
          <w:sz w:val="20"/>
          <w:szCs w:val="20"/>
        </w:rPr>
        <w:t xml:space="preserve">, il est clair que </w:t>
      </w:r>
      <w:r w:rsidR="008A1C99" w:rsidRPr="00764BC7">
        <w:rPr>
          <w:rFonts w:ascii="Arial" w:eastAsia="Times New Roman" w:hAnsi="Arial" w:cs="Arial"/>
          <w:sz w:val="20"/>
          <w:szCs w:val="20"/>
        </w:rPr>
        <w:t>nous avons une vision de l’évaluation insuffisamment diagnostique et formative</w:t>
      </w:r>
      <w:r w:rsidR="00A455A8" w:rsidRPr="00764BC7">
        <w:rPr>
          <w:rFonts w:ascii="Arial" w:eastAsia="Times New Roman" w:hAnsi="Arial" w:cs="Arial"/>
          <w:sz w:val="20"/>
          <w:szCs w:val="20"/>
        </w:rPr>
        <w:t>,</w:t>
      </w:r>
      <w:r w:rsidR="008A1C99" w:rsidRPr="00764BC7">
        <w:rPr>
          <w:rFonts w:ascii="Arial" w:eastAsia="Times New Roman" w:hAnsi="Arial" w:cs="Arial"/>
          <w:sz w:val="20"/>
          <w:szCs w:val="20"/>
        </w:rPr>
        <w:t xml:space="preserve"> et souvent essentiellement négative. Nous sommes plus sensibles à la distance qui sépare des objectifs à atteindre qu’aux progrès réalisés par les élèves, même ténus, et nous sommes plus à l’aise dans la critique que dans l’encouragement. Cela va au-delà des mathématiques, c’est ancré dans la culture, mais c’est un levier décisif pour éviter le décrochage. Brigitte </w:t>
      </w:r>
      <w:r w:rsidR="00647617" w:rsidRPr="00764BC7">
        <w:rPr>
          <w:rFonts w:ascii="Arial" w:eastAsia="Times New Roman" w:hAnsi="Arial" w:cs="Arial"/>
          <w:sz w:val="20"/>
          <w:szCs w:val="20"/>
        </w:rPr>
        <w:t xml:space="preserve">Grugeon </w:t>
      </w:r>
      <w:r w:rsidR="008A1C99" w:rsidRPr="00764BC7">
        <w:rPr>
          <w:rFonts w:ascii="Arial" w:eastAsia="Times New Roman" w:hAnsi="Arial" w:cs="Arial"/>
          <w:sz w:val="20"/>
          <w:szCs w:val="20"/>
        </w:rPr>
        <w:t>a beaucoup d’éléments à apporter sur ce point</w:t>
      </w:r>
      <w:r w:rsidR="00D145ED" w:rsidRPr="00764BC7">
        <w:rPr>
          <w:rFonts w:ascii="Arial" w:eastAsia="Times New Roman" w:hAnsi="Arial" w:cs="Arial"/>
          <w:sz w:val="20"/>
          <w:szCs w:val="20"/>
        </w:rPr>
        <w:t>, vu les travaux qu’elle développe depuis des années et le projet qu’elle porte et vient d’être retenu par l’ANR</w:t>
      </w:r>
      <w:r w:rsidR="00AC5771" w:rsidRPr="00764BC7">
        <w:rPr>
          <w:rFonts w:ascii="Arial" w:eastAsia="Times New Roman" w:hAnsi="Arial" w:cs="Arial"/>
          <w:sz w:val="20"/>
          <w:szCs w:val="20"/>
        </w:rPr>
        <w:t xml:space="preserve"> (présentation du projet dans </w:t>
      </w:r>
      <w:hyperlink r:id="rId17" w:history="1">
        <w:r w:rsidR="00AC5771" w:rsidRPr="00764BC7">
          <w:rPr>
            <w:rStyle w:val="Lienhypertexte"/>
            <w:rFonts w:ascii="Arial" w:eastAsia="Times New Roman" w:hAnsi="Arial" w:cs="Arial"/>
            <w:sz w:val="20"/>
            <w:szCs w:val="20"/>
          </w:rPr>
          <w:t>le bulletin de décembre de la CFEM</w:t>
        </w:r>
      </w:hyperlink>
      <w:r w:rsidR="00184F30">
        <w:rPr>
          <w:rFonts w:ascii="Arial" w:eastAsia="Times New Roman" w:hAnsi="Arial" w:cs="Arial"/>
          <w:sz w:val="20"/>
          <w:szCs w:val="20"/>
        </w:rPr>
        <w:t>, p. 5</w:t>
      </w:r>
      <w:r w:rsidR="00AC5771" w:rsidRPr="00764BC7">
        <w:rPr>
          <w:rFonts w:ascii="Arial" w:eastAsia="Times New Roman" w:hAnsi="Arial" w:cs="Arial"/>
          <w:sz w:val="20"/>
          <w:szCs w:val="20"/>
        </w:rPr>
        <w:t>)</w:t>
      </w:r>
      <w:r w:rsidR="008A1C99" w:rsidRPr="00764BC7">
        <w:rPr>
          <w:rFonts w:ascii="Arial" w:eastAsia="Times New Roman" w:hAnsi="Arial" w:cs="Arial"/>
          <w:sz w:val="20"/>
          <w:szCs w:val="20"/>
        </w:rPr>
        <w:t>.</w:t>
      </w:r>
      <w:r w:rsidR="00647617" w:rsidRPr="00764BC7">
        <w:rPr>
          <w:rFonts w:ascii="Arial" w:eastAsia="Times New Roman" w:hAnsi="Arial" w:cs="Arial"/>
          <w:sz w:val="20"/>
          <w:szCs w:val="20"/>
        </w:rPr>
        <w:t xml:space="preserve"> Et c’est aussi un sujet sur lequel les IREM</w:t>
      </w:r>
      <w:r w:rsidR="006D55D3" w:rsidRPr="00764BC7">
        <w:rPr>
          <w:rFonts w:ascii="Arial" w:eastAsia="Times New Roman" w:hAnsi="Arial" w:cs="Arial"/>
          <w:sz w:val="20"/>
          <w:szCs w:val="20"/>
        </w:rPr>
        <w:t xml:space="preserve"> vont spécialement travailler</w:t>
      </w:r>
      <w:r w:rsidR="00D145ED" w:rsidRPr="00764BC7">
        <w:rPr>
          <w:rFonts w:ascii="Arial" w:eastAsia="Times New Roman" w:hAnsi="Arial" w:cs="Arial"/>
          <w:sz w:val="20"/>
          <w:szCs w:val="20"/>
        </w:rPr>
        <w:t>.</w:t>
      </w:r>
      <w:r w:rsidR="00796487" w:rsidRPr="00764BC7">
        <w:rPr>
          <w:rFonts w:ascii="Arial" w:eastAsia="Times New Roman" w:hAnsi="Arial" w:cs="Arial"/>
          <w:sz w:val="20"/>
          <w:szCs w:val="20"/>
        </w:rPr>
        <w:t xml:space="preserve"> </w:t>
      </w:r>
    </w:p>
    <w:p w14:paraId="7D3546F0" w14:textId="6E303B66" w:rsidR="008A1C99" w:rsidRPr="00D078AA" w:rsidRDefault="008A1C99" w:rsidP="00D078AA">
      <w:pPr>
        <w:spacing w:before="200" w:after="60"/>
        <w:jc w:val="both"/>
        <w:rPr>
          <w:rFonts w:ascii="Arial" w:eastAsia="Times New Roman" w:hAnsi="Arial" w:cs="Arial"/>
          <w:i/>
          <w:sz w:val="20"/>
          <w:szCs w:val="20"/>
        </w:rPr>
      </w:pPr>
      <w:r w:rsidRPr="00D078AA">
        <w:rPr>
          <w:rFonts w:ascii="Arial" w:eastAsia="Times New Roman" w:hAnsi="Arial" w:cs="Arial"/>
          <w:i/>
          <w:sz w:val="20"/>
          <w:szCs w:val="20"/>
        </w:rPr>
        <w:t>La formation des enseign</w:t>
      </w:r>
      <w:r w:rsidR="00D078AA">
        <w:rPr>
          <w:rFonts w:ascii="Arial" w:eastAsia="Times New Roman" w:hAnsi="Arial" w:cs="Arial"/>
          <w:i/>
          <w:sz w:val="20"/>
          <w:szCs w:val="20"/>
        </w:rPr>
        <w:t>ants</w:t>
      </w:r>
    </w:p>
    <w:p w14:paraId="600229B2" w14:textId="77777777" w:rsidR="0045181C" w:rsidRPr="00764BC7" w:rsidRDefault="00CC5E9C" w:rsidP="00D006E5">
      <w:pPr>
        <w:spacing w:after="60"/>
        <w:jc w:val="both"/>
        <w:rPr>
          <w:rFonts w:ascii="Arial" w:eastAsia="Times New Roman" w:hAnsi="Arial" w:cs="Arial"/>
          <w:sz w:val="20"/>
          <w:szCs w:val="20"/>
        </w:rPr>
      </w:pPr>
      <w:r w:rsidRPr="00764BC7">
        <w:rPr>
          <w:rFonts w:ascii="Arial" w:eastAsia="Times New Roman" w:hAnsi="Arial" w:cs="Arial"/>
          <w:sz w:val="20"/>
          <w:szCs w:val="20"/>
        </w:rPr>
        <w:t xml:space="preserve">Beaucoup de choses ont déjà été dites mais c’est une question cruciale donc il n’est pas inutile d’en rajouter une couche. De plus, c’est une des missions essentielles des IREM. </w:t>
      </w:r>
    </w:p>
    <w:p w14:paraId="7FEF59EC" w14:textId="29280A2F" w:rsidR="008A1C99" w:rsidRPr="00764BC7" w:rsidRDefault="0045181C" w:rsidP="00D006E5">
      <w:pPr>
        <w:spacing w:after="60"/>
        <w:jc w:val="both"/>
        <w:rPr>
          <w:rFonts w:ascii="Arial" w:eastAsia="Times New Roman" w:hAnsi="Arial" w:cs="Arial"/>
          <w:sz w:val="20"/>
          <w:szCs w:val="20"/>
        </w:rPr>
      </w:pPr>
      <w:r w:rsidRPr="00764BC7">
        <w:rPr>
          <w:rFonts w:ascii="Arial" w:eastAsia="Times New Roman" w:hAnsi="Arial" w:cs="Arial"/>
          <w:sz w:val="20"/>
          <w:szCs w:val="20"/>
        </w:rPr>
        <w:t>La formation initiale des enseignants a été très bouleversée ces dernières années et c’est encore un chantier. Difficile d’y voir très clair, mais i</w:t>
      </w:r>
      <w:r w:rsidR="00CC5E9C" w:rsidRPr="00764BC7">
        <w:rPr>
          <w:rFonts w:ascii="Arial" w:eastAsia="Times New Roman" w:hAnsi="Arial" w:cs="Arial"/>
          <w:sz w:val="20"/>
          <w:szCs w:val="20"/>
        </w:rPr>
        <w:t>l faut absolument amél</w:t>
      </w:r>
      <w:r w:rsidRPr="00764BC7">
        <w:rPr>
          <w:rFonts w:ascii="Arial" w:eastAsia="Times New Roman" w:hAnsi="Arial" w:cs="Arial"/>
          <w:sz w:val="20"/>
          <w:szCs w:val="20"/>
        </w:rPr>
        <w:t>iorer la formation mathématique</w:t>
      </w:r>
      <w:r w:rsidR="00A455A8" w:rsidRPr="00764BC7">
        <w:rPr>
          <w:rFonts w:ascii="Arial" w:eastAsia="Times New Roman" w:hAnsi="Arial" w:cs="Arial"/>
          <w:sz w:val="20"/>
          <w:szCs w:val="20"/>
        </w:rPr>
        <w:t xml:space="preserve"> et didactique</w:t>
      </w:r>
      <w:r w:rsidR="00CC5E9C" w:rsidRPr="00764BC7">
        <w:rPr>
          <w:rFonts w:ascii="Arial" w:eastAsia="Times New Roman" w:hAnsi="Arial" w:cs="Arial"/>
          <w:sz w:val="20"/>
          <w:szCs w:val="20"/>
        </w:rPr>
        <w:t xml:space="preserve"> des enseignants du primaire et du personnel d’encadrement de ces enseignants. Les heures </w:t>
      </w:r>
      <w:r w:rsidRPr="00764BC7">
        <w:rPr>
          <w:rFonts w:ascii="Arial" w:eastAsia="Times New Roman" w:hAnsi="Arial" w:cs="Arial"/>
          <w:sz w:val="20"/>
          <w:szCs w:val="20"/>
        </w:rPr>
        <w:t xml:space="preserve">qui semblent aujourd’hui </w:t>
      </w:r>
      <w:r w:rsidR="00CC5E9C" w:rsidRPr="00764BC7">
        <w:rPr>
          <w:rFonts w:ascii="Arial" w:eastAsia="Times New Roman" w:hAnsi="Arial" w:cs="Arial"/>
          <w:sz w:val="20"/>
          <w:szCs w:val="20"/>
        </w:rPr>
        <w:t xml:space="preserve">octroyées à la formation mathématique et didactique </w:t>
      </w:r>
      <w:r w:rsidR="00A455A8" w:rsidRPr="00764BC7">
        <w:rPr>
          <w:rFonts w:ascii="Arial" w:eastAsia="Times New Roman" w:hAnsi="Arial" w:cs="Arial"/>
          <w:sz w:val="20"/>
          <w:szCs w:val="20"/>
        </w:rPr>
        <w:t xml:space="preserve">dans les maquettes de master </w:t>
      </w:r>
      <w:r w:rsidR="00CC5E9C" w:rsidRPr="00764BC7">
        <w:rPr>
          <w:rFonts w:ascii="Arial" w:eastAsia="Times New Roman" w:hAnsi="Arial" w:cs="Arial"/>
          <w:sz w:val="20"/>
          <w:szCs w:val="20"/>
        </w:rPr>
        <w:t>ne peuvent absolument pas permettre d’avoir des enseignants ayant reconstruit un rappor</w:t>
      </w:r>
      <w:r w:rsidRPr="00764BC7">
        <w:rPr>
          <w:rFonts w:ascii="Arial" w:eastAsia="Times New Roman" w:hAnsi="Arial" w:cs="Arial"/>
          <w:sz w:val="20"/>
          <w:szCs w:val="20"/>
        </w:rPr>
        <w:t xml:space="preserve">t positif à cette discipline, et ayant les connaissances nécessaires pour les enseigner et accompagner efficacement les apprentissages des élèves. Une formation continue même correctement organisée ne peut pallier </w:t>
      </w:r>
      <w:r w:rsidR="00A455A8" w:rsidRPr="00764BC7">
        <w:rPr>
          <w:rFonts w:ascii="Arial" w:eastAsia="Times New Roman" w:hAnsi="Arial" w:cs="Arial"/>
          <w:sz w:val="20"/>
          <w:szCs w:val="20"/>
        </w:rPr>
        <w:t xml:space="preserve">à elle seule </w:t>
      </w:r>
      <w:r w:rsidRPr="00764BC7">
        <w:rPr>
          <w:rFonts w:ascii="Arial" w:eastAsia="Times New Roman" w:hAnsi="Arial" w:cs="Arial"/>
          <w:sz w:val="20"/>
          <w:szCs w:val="20"/>
        </w:rPr>
        <w:t>les déficits de la formation initiale, et elle n’est pas là pour cela. Il faut aussi sans aucun doute privilégier les licences plur</w:t>
      </w:r>
      <w:r w:rsidR="00A36465" w:rsidRPr="00764BC7">
        <w:rPr>
          <w:rFonts w:ascii="Arial" w:eastAsia="Times New Roman" w:hAnsi="Arial" w:cs="Arial"/>
          <w:sz w:val="20"/>
          <w:szCs w:val="20"/>
        </w:rPr>
        <w:t xml:space="preserve">idisciplinaires pour ne pas </w:t>
      </w:r>
      <w:r w:rsidR="00D145ED" w:rsidRPr="00764BC7">
        <w:rPr>
          <w:rFonts w:ascii="Arial" w:eastAsia="Times New Roman" w:hAnsi="Arial" w:cs="Arial"/>
          <w:sz w:val="20"/>
          <w:szCs w:val="20"/>
        </w:rPr>
        <w:t xml:space="preserve">systématiquement </w:t>
      </w:r>
      <w:r w:rsidR="00A36465" w:rsidRPr="00764BC7">
        <w:rPr>
          <w:rFonts w:ascii="Arial" w:eastAsia="Times New Roman" w:hAnsi="Arial" w:cs="Arial"/>
          <w:sz w:val="20"/>
          <w:szCs w:val="20"/>
        </w:rPr>
        <w:t>concentrer tous les efforts sur les</w:t>
      </w:r>
      <w:r w:rsidRPr="00764BC7">
        <w:rPr>
          <w:rFonts w:ascii="Arial" w:eastAsia="Times New Roman" w:hAnsi="Arial" w:cs="Arial"/>
          <w:sz w:val="20"/>
          <w:szCs w:val="20"/>
        </w:rPr>
        <w:t xml:space="preserve"> années de master.</w:t>
      </w:r>
    </w:p>
    <w:p w14:paraId="383272EF" w14:textId="1E00DF69" w:rsidR="00D417A1" w:rsidRPr="00764BC7" w:rsidRDefault="00A36465" w:rsidP="00D006E5">
      <w:pPr>
        <w:spacing w:after="60"/>
        <w:rPr>
          <w:rFonts w:ascii="Arial" w:eastAsia="Times New Roman" w:hAnsi="Arial" w:cs="Arial"/>
          <w:sz w:val="20"/>
          <w:szCs w:val="20"/>
        </w:rPr>
      </w:pPr>
      <w:r w:rsidRPr="00764BC7">
        <w:rPr>
          <w:rFonts w:ascii="Arial" w:eastAsia="Times New Roman" w:hAnsi="Arial" w:cs="Arial"/>
          <w:sz w:val="20"/>
          <w:szCs w:val="20"/>
        </w:rPr>
        <w:t>La formation continue des enseignants est sinistrée</w:t>
      </w:r>
      <w:r w:rsidR="00394AFC" w:rsidRPr="00764BC7">
        <w:rPr>
          <w:rFonts w:ascii="Arial" w:eastAsia="Times New Roman" w:hAnsi="Arial" w:cs="Arial"/>
          <w:sz w:val="20"/>
          <w:szCs w:val="20"/>
        </w:rPr>
        <w:t xml:space="preserve"> et à repenser complètement</w:t>
      </w:r>
      <w:r w:rsidRPr="00764BC7">
        <w:rPr>
          <w:rFonts w:ascii="Arial" w:eastAsia="Times New Roman" w:hAnsi="Arial" w:cs="Arial"/>
          <w:sz w:val="20"/>
          <w:szCs w:val="20"/>
        </w:rPr>
        <w:t xml:space="preserve">. </w:t>
      </w:r>
    </w:p>
    <w:p w14:paraId="23A909FD" w14:textId="58DAB1C0" w:rsidR="00A36465" w:rsidRPr="00D078AA" w:rsidRDefault="00A36465" w:rsidP="00D078AA">
      <w:pPr>
        <w:spacing w:before="200" w:after="60"/>
        <w:rPr>
          <w:rFonts w:ascii="Arial" w:eastAsia="Times New Roman" w:hAnsi="Arial" w:cs="Arial"/>
          <w:i/>
          <w:sz w:val="20"/>
          <w:szCs w:val="20"/>
        </w:rPr>
      </w:pPr>
      <w:r w:rsidRPr="00D078AA">
        <w:rPr>
          <w:rFonts w:ascii="Arial" w:eastAsia="Times New Roman" w:hAnsi="Arial" w:cs="Arial"/>
          <w:i/>
          <w:sz w:val="20"/>
          <w:szCs w:val="20"/>
        </w:rPr>
        <w:t>Quelques points sans développement et sans hiérarchie de p</w:t>
      </w:r>
      <w:r w:rsidR="00D078AA" w:rsidRPr="00D078AA">
        <w:rPr>
          <w:rFonts w:ascii="Arial" w:eastAsia="Times New Roman" w:hAnsi="Arial" w:cs="Arial"/>
          <w:i/>
          <w:sz w:val="20"/>
          <w:szCs w:val="20"/>
        </w:rPr>
        <w:t>riorité</w:t>
      </w:r>
    </w:p>
    <w:p w14:paraId="1D3AFC52" w14:textId="7AEE96C0" w:rsidR="00D560B0" w:rsidRPr="00764BC7" w:rsidRDefault="00A36465" w:rsidP="00D560B0">
      <w:pPr>
        <w:spacing w:after="60"/>
        <w:jc w:val="both"/>
        <w:rPr>
          <w:rFonts w:ascii="Arial" w:eastAsia="Times New Roman" w:hAnsi="Arial" w:cs="Arial"/>
          <w:sz w:val="20"/>
          <w:szCs w:val="20"/>
        </w:rPr>
      </w:pPr>
      <w:r w:rsidRPr="00764BC7">
        <w:rPr>
          <w:rFonts w:ascii="Arial" w:eastAsia="Times New Roman" w:hAnsi="Arial" w:cs="Arial"/>
          <w:sz w:val="20"/>
          <w:szCs w:val="20"/>
        </w:rPr>
        <w:t xml:space="preserve">Une des fonctions de la formation continue </w:t>
      </w:r>
      <w:r w:rsidR="00A455A8" w:rsidRPr="00764BC7">
        <w:rPr>
          <w:rFonts w:ascii="Arial" w:eastAsia="Times New Roman" w:hAnsi="Arial" w:cs="Arial"/>
          <w:sz w:val="20"/>
          <w:szCs w:val="20"/>
        </w:rPr>
        <w:t xml:space="preserve">des enseignants du secondaire </w:t>
      </w:r>
      <w:r w:rsidRPr="00764BC7">
        <w:rPr>
          <w:rFonts w:ascii="Arial" w:eastAsia="Times New Roman" w:hAnsi="Arial" w:cs="Arial"/>
          <w:sz w:val="20"/>
          <w:szCs w:val="20"/>
        </w:rPr>
        <w:t>devrait être de maintenir le</w:t>
      </w:r>
      <w:r w:rsidR="00A455A8" w:rsidRPr="00764BC7">
        <w:rPr>
          <w:rFonts w:ascii="Arial" w:eastAsia="Times New Roman" w:hAnsi="Arial" w:cs="Arial"/>
          <w:sz w:val="20"/>
          <w:szCs w:val="20"/>
        </w:rPr>
        <w:t>ur</w:t>
      </w:r>
      <w:r w:rsidRPr="00764BC7">
        <w:rPr>
          <w:rFonts w:ascii="Arial" w:eastAsia="Times New Roman" w:hAnsi="Arial" w:cs="Arial"/>
          <w:sz w:val="20"/>
          <w:szCs w:val="20"/>
        </w:rPr>
        <w:t xml:space="preserve"> conta</w:t>
      </w:r>
      <w:r w:rsidR="00A455A8" w:rsidRPr="00764BC7">
        <w:rPr>
          <w:rFonts w:ascii="Arial" w:eastAsia="Times New Roman" w:hAnsi="Arial" w:cs="Arial"/>
          <w:sz w:val="20"/>
          <w:szCs w:val="20"/>
        </w:rPr>
        <w:t>ct</w:t>
      </w:r>
      <w:r w:rsidRPr="00764BC7">
        <w:rPr>
          <w:rFonts w:ascii="Arial" w:eastAsia="Times New Roman" w:hAnsi="Arial" w:cs="Arial"/>
          <w:sz w:val="20"/>
          <w:szCs w:val="20"/>
        </w:rPr>
        <w:t xml:space="preserve"> avec les mathématiques vivantes et les applications actuelles des mathématiques dans l’esprit du </w:t>
      </w:r>
      <w:hyperlink r:id="rId18" w:history="1">
        <w:r w:rsidRPr="00764BC7">
          <w:rPr>
            <w:rStyle w:val="Lienhypertexte"/>
            <w:rFonts w:ascii="Arial" w:eastAsia="Times New Roman" w:hAnsi="Arial" w:cs="Arial"/>
            <w:sz w:val="20"/>
            <w:szCs w:val="20"/>
          </w:rPr>
          <w:t>projet Felix Klein</w:t>
        </w:r>
        <w:r w:rsidR="00D145ED" w:rsidRPr="00764BC7">
          <w:rPr>
            <w:rStyle w:val="Lienhypertexte"/>
            <w:rFonts w:ascii="Arial" w:eastAsia="Times New Roman" w:hAnsi="Arial" w:cs="Arial"/>
            <w:sz w:val="20"/>
            <w:szCs w:val="20"/>
          </w:rPr>
          <w:t xml:space="preserve"> de l’ICMI</w:t>
        </w:r>
      </w:hyperlink>
      <w:r w:rsidR="00184F30">
        <w:rPr>
          <w:rStyle w:val="Marquenotebasdepage"/>
          <w:rFonts w:ascii="Arial" w:eastAsia="Times New Roman" w:hAnsi="Arial" w:cs="Arial"/>
          <w:color w:val="0000FF" w:themeColor="hyperlink"/>
          <w:sz w:val="20"/>
          <w:szCs w:val="20"/>
          <w:u w:val="single"/>
        </w:rPr>
        <w:footnoteReference w:id="1"/>
      </w:r>
      <w:r w:rsidRPr="00764BC7">
        <w:rPr>
          <w:rFonts w:ascii="Arial" w:eastAsia="Times New Roman" w:hAnsi="Arial" w:cs="Arial"/>
          <w:sz w:val="20"/>
          <w:szCs w:val="20"/>
        </w:rPr>
        <w:t xml:space="preserve"> Sinon, il semble difficile qu’ils puissent aider leurs</w:t>
      </w:r>
      <w:r w:rsidR="00A455A8" w:rsidRPr="00764BC7">
        <w:rPr>
          <w:rFonts w:ascii="Arial" w:eastAsia="Times New Roman" w:hAnsi="Arial" w:cs="Arial"/>
          <w:sz w:val="20"/>
          <w:szCs w:val="20"/>
        </w:rPr>
        <w:t xml:space="preserve"> élèves eux-mêmes à voir les mathématiques comme une science vivante et en prise sur les problèmes de la société</w:t>
      </w:r>
      <w:r w:rsidRPr="00764BC7">
        <w:rPr>
          <w:rFonts w:ascii="Arial" w:eastAsia="Times New Roman" w:hAnsi="Arial" w:cs="Arial"/>
          <w:sz w:val="20"/>
          <w:szCs w:val="20"/>
        </w:rPr>
        <w:t>.</w:t>
      </w:r>
      <w:r w:rsidR="00E74731" w:rsidRPr="00764BC7">
        <w:rPr>
          <w:rFonts w:ascii="Arial" w:eastAsia="Times New Roman" w:hAnsi="Arial" w:cs="Arial"/>
          <w:sz w:val="20"/>
          <w:szCs w:val="20"/>
        </w:rPr>
        <w:t xml:space="preserve"> C</w:t>
      </w:r>
      <w:r w:rsidR="00394AFC" w:rsidRPr="00764BC7">
        <w:rPr>
          <w:rFonts w:ascii="Arial" w:eastAsia="Times New Roman" w:hAnsi="Arial" w:cs="Arial"/>
          <w:sz w:val="20"/>
          <w:szCs w:val="20"/>
        </w:rPr>
        <w:t xml:space="preserve">ela peut </w:t>
      </w:r>
      <w:r w:rsidR="00E74731" w:rsidRPr="00764BC7">
        <w:rPr>
          <w:rFonts w:ascii="Arial" w:eastAsia="Times New Roman" w:hAnsi="Arial" w:cs="Arial"/>
          <w:sz w:val="20"/>
          <w:szCs w:val="20"/>
        </w:rPr>
        <w:t xml:space="preserve">aussi </w:t>
      </w:r>
      <w:r w:rsidR="00394AFC" w:rsidRPr="00764BC7">
        <w:rPr>
          <w:rFonts w:ascii="Arial" w:eastAsia="Times New Roman" w:hAnsi="Arial" w:cs="Arial"/>
          <w:sz w:val="20"/>
          <w:szCs w:val="20"/>
        </w:rPr>
        <w:t xml:space="preserve">aider les enseignants à </w:t>
      </w:r>
      <w:r w:rsidR="00E74731" w:rsidRPr="00764BC7">
        <w:rPr>
          <w:rFonts w:ascii="Arial" w:eastAsia="Times New Roman" w:hAnsi="Arial" w:cs="Arial"/>
          <w:sz w:val="20"/>
          <w:szCs w:val="20"/>
        </w:rPr>
        <w:t xml:space="preserve">mieux </w:t>
      </w:r>
      <w:r w:rsidR="00394AFC" w:rsidRPr="00764BC7">
        <w:rPr>
          <w:rFonts w:ascii="Arial" w:eastAsia="Times New Roman" w:hAnsi="Arial" w:cs="Arial"/>
          <w:sz w:val="20"/>
          <w:szCs w:val="20"/>
        </w:rPr>
        <w:t>percevoir la raison d’être des mathématiques qu’ils enseignent.</w:t>
      </w:r>
      <w:r w:rsidR="00D560B0" w:rsidRPr="00D560B0">
        <w:rPr>
          <w:rFonts w:ascii="Arial" w:eastAsia="Times New Roman" w:hAnsi="Arial" w:cs="Arial"/>
          <w:sz w:val="20"/>
          <w:szCs w:val="20"/>
        </w:rPr>
        <w:t xml:space="preserve"> </w:t>
      </w:r>
    </w:p>
    <w:p w14:paraId="3D9EE8C2" w14:textId="77777777" w:rsidR="00D560B0" w:rsidRDefault="00A36465" w:rsidP="00D560B0">
      <w:pPr>
        <w:spacing w:after="60"/>
        <w:jc w:val="both"/>
        <w:rPr>
          <w:rFonts w:ascii="Arial" w:eastAsia="Times New Roman" w:hAnsi="Arial" w:cs="Arial"/>
          <w:sz w:val="20"/>
          <w:szCs w:val="20"/>
        </w:rPr>
      </w:pPr>
      <w:r w:rsidRPr="00764BC7">
        <w:rPr>
          <w:rFonts w:ascii="Arial" w:eastAsia="Times New Roman" w:hAnsi="Arial" w:cs="Arial"/>
          <w:sz w:val="20"/>
          <w:szCs w:val="20"/>
        </w:rPr>
        <w:t xml:space="preserve">La formation devrait s’appuyer beaucoup plus systématiquement sur les </w:t>
      </w:r>
      <w:r w:rsidR="00D145ED" w:rsidRPr="00764BC7">
        <w:rPr>
          <w:rFonts w:ascii="Arial" w:eastAsia="Times New Roman" w:hAnsi="Arial" w:cs="Arial"/>
          <w:sz w:val="20"/>
          <w:szCs w:val="20"/>
        </w:rPr>
        <w:t>acquis de la recherche. Ceci</w:t>
      </w:r>
      <w:r w:rsidRPr="00764BC7">
        <w:rPr>
          <w:rFonts w:ascii="Arial" w:eastAsia="Times New Roman" w:hAnsi="Arial" w:cs="Arial"/>
          <w:sz w:val="20"/>
          <w:szCs w:val="20"/>
        </w:rPr>
        <w:t xml:space="preserve"> suppose bien sûr que ces derniers soient identifiés</w:t>
      </w:r>
      <w:r w:rsidR="00D145ED" w:rsidRPr="00764BC7">
        <w:rPr>
          <w:rFonts w:ascii="Arial" w:eastAsia="Times New Roman" w:hAnsi="Arial" w:cs="Arial"/>
          <w:sz w:val="20"/>
          <w:szCs w:val="20"/>
        </w:rPr>
        <w:t>, mais c’est loin d’être suffisant pour</w:t>
      </w:r>
      <w:r w:rsidR="00285CB1" w:rsidRPr="00764BC7">
        <w:rPr>
          <w:rFonts w:ascii="Arial" w:eastAsia="Times New Roman" w:hAnsi="Arial" w:cs="Arial"/>
          <w:sz w:val="20"/>
          <w:szCs w:val="20"/>
        </w:rPr>
        <w:t xml:space="preserve"> faire des acquis de la recherche des outils productifs pour la formation des enseignants</w:t>
      </w:r>
      <w:r w:rsidRPr="00764BC7">
        <w:rPr>
          <w:rFonts w:ascii="Arial" w:eastAsia="Times New Roman" w:hAnsi="Arial" w:cs="Arial"/>
          <w:sz w:val="20"/>
          <w:szCs w:val="20"/>
        </w:rPr>
        <w:t>.</w:t>
      </w:r>
      <w:r w:rsidR="00D145ED" w:rsidRPr="00764BC7">
        <w:rPr>
          <w:rFonts w:ascii="Arial" w:eastAsia="Times New Roman" w:hAnsi="Arial" w:cs="Arial"/>
          <w:sz w:val="20"/>
          <w:szCs w:val="20"/>
        </w:rPr>
        <w:t xml:space="preserve"> Ce qui est aussi en jeu, c’est une autre conception de la dissémination des r</w:t>
      </w:r>
      <w:r w:rsidR="0030590F" w:rsidRPr="00764BC7">
        <w:rPr>
          <w:rFonts w:ascii="Arial" w:eastAsia="Times New Roman" w:hAnsi="Arial" w:cs="Arial"/>
          <w:sz w:val="20"/>
          <w:szCs w:val="20"/>
        </w:rPr>
        <w:t>ésultats et des ressources</w:t>
      </w:r>
      <w:r w:rsidR="00E74731" w:rsidRPr="00764BC7">
        <w:rPr>
          <w:rFonts w:ascii="Arial" w:eastAsia="Times New Roman" w:hAnsi="Arial" w:cs="Arial"/>
          <w:sz w:val="20"/>
          <w:szCs w:val="20"/>
        </w:rPr>
        <w:t>, des rapports entre formation continue et terrain</w:t>
      </w:r>
      <w:r w:rsidR="0030590F" w:rsidRPr="00764BC7">
        <w:rPr>
          <w:rFonts w:ascii="Arial" w:eastAsia="Times New Roman" w:hAnsi="Arial" w:cs="Arial"/>
          <w:sz w:val="20"/>
          <w:szCs w:val="20"/>
        </w:rPr>
        <w:t>.</w:t>
      </w:r>
      <w:r w:rsidR="004524DE">
        <w:rPr>
          <w:rFonts w:ascii="Arial" w:eastAsia="Times New Roman" w:hAnsi="Arial" w:cs="Arial"/>
          <w:sz w:val="20"/>
          <w:szCs w:val="20"/>
        </w:rPr>
        <w:t xml:space="preserve"> </w:t>
      </w:r>
    </w:p>
    <w:p w14:paraId="672338CE" w14:textId="145425C8" w:rsidR="00D560B0" w:rsidRPr="00764BC7" w:rsidRDefault="00A36465" w:rsidP="00D560B0">
      <w:pPr>
        <w:spacing w:after="60"/>
        <w:jc w:val="both"/>
        <w:rPr>
          <w:rFonts w:ascii="Arial" w:eastAsia="Times New Roman" w:hAnsi="Arial" w:cs="Arial"/>
          <w:sz w:val="20"/>
          <w:szCs w:val="20"/>
        </w:rPr>
      </w:pPr>
      <w:bookmarkStart w:id="0" w:name="_GoBack"/>
      <w:bookmarkEnd w:id="0"/>
      <w:r w:rsidRPr="00764BC7">
        <w:rPr>
          <w:rFonts w:ascii="Arial" w:eastAsia="Times New Roman" w:hAnsi="Arial" w:cs="Arial"/>
          <w:sz w:val="20"/>
          <w:szCs w:val="20"/>
        </w:rPr>
        <w:t>La formation devrait être pensée pour contribuer à briser l’isolement du métier d’enseignant. Toutes les études montrent que les évolu</w:t>
      </w:r>
      <w:r w:rsidR="00285CB1" w:rsidRPr="00764BC7">
        <w:rPr>
          <w:rFonts w:ascii="Arial" w:eastAsia="Times New Roman" w:hAnsi="Arial" w:cs="Arial"/>
          <w:sz w:val="20"/>
          <w:szCs w:val="20"/>
        </w:rPr>
        <w:t>tions productives et durables</w:t>
      </w:r>
      <w:r w:rsidRPr="00764BC7">
        <w:rPr>
          <w:rFonts w:ascii="Arial" w:eastAsia="Times New Roman" w:hAnsi="Arial" w:cs="Arial"/>
          <w:sz w:val="20"/>
          <w:szCs w:val="20"/>
        </w:rPr>
        <w:t xml:space="preserve"> passent par la construction d’équipes, de communautés, </w:t>
      </w:r>
      <w:r w:rsidR="00285CB1" w:rsidRPr="00764BC7">
        <w:rPr>
          <w:rFonts w:ascii="Arial" w:eastAsia="Times New Roman" w:hAnsi="Arial" w:cs="Arial"/>
          <w:sz w:val="20"/>
          <w:szCs w:val="20"/>
        </w:rPr>
        <w:t>avec le soutien de chercheurs, la construction de réseaux, et leur élargissement progressif, par un t</w:t>
      </w:r>
      <w:r w:rsidR="00E74731" w:rsidRPr="00764BC7">
        <w:rPr>
          <w:rFonts w:ascii="Arial" w:eastAsia="Times New Roman" w:hAnsi="Arial" w:cs="Arial"/>
          <w:sz w:val="20"/>
          <w:szCs w:val="20"/>
        </w:rPr>
        <w:t>ravail conçu comme collaboratif.</w:t>
      </w:r>
      <w:r w:rsidR="00D560B0" w:rsidRPr="00D560B0">
        <w:rPr>
          <w:rFonts w:ascii="Arial" w:eastAsia="Times New Roman" w:hAnsi="Arial" w:cs="Arial"/>
          <w:sz w:val="20"/>
          <w:szCs w:val="20"/>
        </w:rPr>
        <w:t xml:space="preserve"> </w:t>
      </w:r>
    </w:p>
    <w:p w14:paraId="6BBBE532" w14:textId="422D83B9" w:rsidR="003E1907" w:rsidRPr="00764BC7" w:rsidRDefault="00285CB1" w:rsidP="00D078AA">
      <w:pPr>
        <w:pStyle w:val="Paragraphedeliste"/>
        <w:spacing w:after="60"/>
        <w:ind w:left="0"/>
        <w:jc w:val="both"/>
        <w:rPr>
          <w:rFonts w:ascii="Arial" w:eastAsia="Times New Roman" w:hAnsi="Arial" w:cs="Arial"/>
          <w:sz w:val="20"/>
          <w:szCs w:val="20"/>
        </w:rPr>
      </w:pPr>
      <w:r w:rsidRPr="00764BC7">
        <w:rPr>
          <w:rFonts w:ascii="Arial" w:eastAsia="Times New Roman" w:hAnsi="Arial" w:cs="Arial"/>
          <w:sz w:val="20"/>
          <w:szCs w:val="20"/>
        </w:rPr>
        <w:t>La nécessité de rompre avec certaines formes de discours et oppositions simplistes</w:t>
      </w:r>
      <w:r w:rsidR="00D145ED" w:rsidRPr="00764BC7">
        <w:rPr>
          <w:rFonts w:ascii="Arial" w:eastAsia="Times New Roman" w:hAnsi="Arial" w:cs="Arial"/>
          <w:sz w:val="20"/>
          <w:szCs w:val="20"/>
        </w:rPr>
        <w:t>, entre pédagogies transmissives et constructives, entre l’apprentissage de concepts et celui de techniques</w:t>
      </w:r>
      <w:r w:rsidRPr="00764BC7">
        <w:rPr>
          <w:rFonts w:ascii="Arial" w:eastAsia="Times New Roman" w:hAnsi="Arial" w:cs="Arial"/>
          <w:sz w:val="20"/>
          <w:szCs w:val="20"/>
        </w:rPr>
        <w:t xml:space="preserve">. Prendre en compte ce que l’on sait aujourd’hui des pratiques enseignantes, de la façon dont elles se forment et évoluent, et du travail de l’enseignant. </w:t>
      </w:r>
    </w:p>
    <w:sectPr w:rsidR="003E1907" w:rsidRPr="00764BC7" w:rsidSect="00041D54">
      <w:footerReference w:type="even" r:id="rId19"/>
      <w:footerReference w:type="default" r:id="rId20"/>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3720F" w14:textId="77777777" w:rsidR="00184F30" w:rsidRDefault="00184F30" w:rsidP="00184F30">
      <w:r>
        <w:separator/>
      </w:r>
    </w:p>
  </w:endnote>
  <w:endnote w:type="continuationSeparator" w:id="0">
    <w:p w14:paraId="114FD98B" w14:textId="77777777" w:rsidR="00184F30" w:rsidRDefault="00184F30" w:rsidP="0018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inux Libertine">
    <w:altName w:val="Times New Roman"/>
    <w:charset w:val="01"/>
    <w:family w:val="auto"/>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BA4EC" w14:textId="77777777" w:rsidR="004524DE" w:rsidRDefault="004524DE" w:rsidP="00532A4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6E9799E" w14:textId="77777777" w:rsidR="004524DE" w:rsidRDefault="004524D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B229F" w14:textId="77777777" w:rsidR="004524DE" w:rsidRPr="004524DE" w:rsidRDefault="004524DE" w:rsidP="00532A4F">
    <w:pPr>
      <w:pStyle w:val="Pieddepage"/>
      <w:framePr w:wrap="around" w:vAnchor="text" w:hAnchor="margin" w:xAlign="center" w:y="1"/>
      <w:rPr>
        <w:rStyle w:val="Numrodepage"/>
        <w:rFonts w:ascii="Arial" w:hAnsi="Arial" w:cs="Arial"/>
        <w:i/>
        <w:sz w:val="16"/>
        <w:szCs w:val="16"/>
      </w:rPr>
    </w:pPr>
    <w:r w:rsidRPr="004524DE">
      <w:rPr>
        <w:rStyle w:val="Numrodepage"/>
        <w:rFonts w:ascii="Arial" w:hAnsi="Arial" w:cs="Arial"/>
        <w:i/>
        <w:sz w:val="16"/>
        <w:szCs w:val="16"/>
      </w:rPr>
      <w:fldChar w:fldCharType="begin"/>
    </w:r>
    <w:r w:rsidRPr="004524DE">
      <w:rPr>
        <w:rStyle w:val="Numrodepage"/>
        <w:rFonts w:ascii="Arial" w:hAnsi="Arial" w:cs="Arial"/>
        <w:i/>
        <w:sz w:val="16"/>
        <w:szCs w:val="16"/>
      </w:rPr>
      <w:instrText xml:space="preserve">PAGE  </w:instrText>
    </w:r>
    <w:r w:rsidRPr="004524DE">
      <w:rPr>
        <w:rStyle w:val="Numrodepage"/>
        <w:rFonts w:ascii="Arial" w:hAnsi="Arial" w:cs="Arial"/>
        <w:i/>
        <w:sz w:val="16"/>
        <w:szCs w:val="16"/>
      </w:rPr>
      <w:fldChar w:fldCharType="separate"/>
    </w:r>
    <w:r w:rsidR="009E5EDE">
      <w:rPr>
        <w:rStyle w:val="Numrodepage"/>
        <w:rFonts w:ascii="Arial" w:hAnsi="Arial" w:cs="Arial"/>
        <w:i/>
        <w:noProof/>
        <w:sz w:val="16"/>
        <w:szCs w:val="16"/>
      </w:rPr>
      <w:t>1</w:t>
    </w:r>
    <w:r w:rsidRPr="004524DE">
      <w:rPr>
        <w:rStyle w:val="Numrodepage"/>
        <w:rFonts w:ascii="Arial" w:hAnsi="Arial" w:cs="Arial"/>
        <w:i/>
        <w:sz w:val="16"/>
        <w:szCs w:val="16"/>
      </w:rPr>
      <w:fldChar w:fldCharType="end"/>
    </w:r>
  </w:p>
  <w:p w14:paraId="10557C38" w14:textId="77777777" w:rsidR="004524DE" w:rsidRDefault="004524D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A5703" w14:textId="77777777" w:rsidR="00184F30" w:rsidRDefault="00184F30" w:rsidP="00184F30">
      <w:r>
        <w:separator/>
      </w:r>
    </w:p>
  </w:footnote>
  <w:footnote w:type="continuationSeparator" w:id="0">
    <w:p w14:paraId="3331736F" w14:textId="77777777" w:rsidR="00184F30" w:rsidRDefault="00184F30" w:rsidP="00184F30">
      <w:r>
        <w:continuationSeparator/>
      </w:r>
    </w:p>
  </w:footnote>
  <w:footnote w:id="1">
    <w:p w14:paraId="6B1AC7CF" w14:textId="09731A1D" w:rsidR="00184F30" w:rsidRPr="002D478B" w:rsidRDefault="00184F30" w:rsidP="00184F30">
      <w:pPr>
        <w:widowControl w:val="0"/>
        <w:autoSpaceDE w:val="0"/>
        <w:autoSpaceDN w:val="0"/>
        <w:adjustRightInd w:val="0"/>
        <w:rPr>
          <w:rFonts w:ascii="Arial" w:hAnsi="Arial" w:cs="Arial"/>
          <w:color w:val="1049BB"/>
          <w:sz w:val="16"/>
          <w:szCs w:val="16"/>
        </w:rPr>
      </w:pPr>
      <w:r w:rsidRPr="002D478B">
        <w:rPr>
          <w:rStyle w:val="Marquenotebasdepage"/>
          <w:rFonts w:ascii="Arial" w:hAnsi="Arial" w:cs="Arial"/>
          <w:sz w:val="16"/>
          <w:szCs w:val="16"/>
        </w:rPr>
        <w:footnoteRef/>
      </w:r>
      <w:r w:rsidRPr="002D478B">
        <w:rPr>
          <w:rFonts w:ascii="Arial" w:hAnsi="Arial" w:cs="Arial"/>
          <w:sz w:val="16"/>
          <w:szCs w:val="16"/>
        </w:rPr>
        <w:t xml:space="preserve"> </w:t>
      </w:r>
      <w:r w:rsidR="002D478B" w:rsidRPr="002D478B">
        <w:rPr>
          <w:rFonts w:ascii="Arial" w:hAnsi="Arial" w:cs="Arial"/>
          <w:sz w:val="16"/>
          <w:szCs w:val="16"/>
        </w:rPr>
        <w:t>Sur le projet Klein, lire aussi la conférence que Michèle Artigue a faite</w:t>
      </w:r>
      <w:r w:rsidR="002D478B">
        <w:rPr>
          <w:rFonts w:ascii="Arial" w:hAnsi="Arial" w:cs="Arial"/>
          <w:sz w:val="16"/>
          <w:szCs w:val="16"/>
        </w:rPr>
        <w:t xml:space="preserve"> à Grenoble</w:t>
      </w:r>
      <w:r w:rsidR="002D478B" w:rsidRPr="002D478B">
        <w:rPr>
          <w:rFonts w:ascii="Arial" w:hAnsi="Arial" w:cs="Arial"/>
          <w:sz w:val="16"/>
          <w:szCs w:val="16"/>
        </w:rPr>
        <w:t>,</w:t>
      </w:r>
      <w:r w:rsidR="002D478B" w:rsidRPr="002D478B">
        <w:rPr>
          <w:rFonts w:ascii="Arial" w:hAnsi="Arial" w:cs="Arial"/>
          <w:sz w:val="16"/>
          <w:szCs w:val="16"/>
        </w:rPr>
        <w:t xml:space="preserve"> le 24 octobre 2011, lors des Journées nationales de l’APMEP</w:t>
      </w:r>
      <w:r w:rsidR="002D478B" w:rsidRPr="002D478B">
        <w:rPr>
          <w:rFonts w:ascii="Arial" w:hAnsi="Arial" w:cs="Arial"/>
          <w:sz w:val="16"/>
          <w:szCs w:val="16"/>
        </w:rPr>
        <w:t xml:space="preserve"> : </w:t>
      </w:r>
      <w:hyperlink r:id="rId1" w:history="1">
        <w:r w:rsidR="002D478B" w:rsidRPr="002D478B">
          <w:rPr>
            <w:rStyle w:val="Lienhypertexte"/>
            <w:rFonts w:ascii="Arial" w:hAnsi="Arial" w:cs="Arial"/>
            <w:bCs/>
            <w:sz w:val="16"/>
            <w:szCs w:val="16"/>
          </w:rPr>
          <w:t>Mathématiques actuelles et enseignement des mathématiques : quelles synergies ?</w:t>
        </w:r>
      </w:hyperlink>
      <w:r w:rsidRPr="002D478B">
        <w:rPr>
          <w:rFonts w:ascii="Arial" w:hAnsi="Arial" w:cs="Arial"/>
          <w:color w:val="1049BB"/>
          <w:sz w:val="16"/>
          <w:szCs w:val="16"/>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34FD7CE2"/>
    <w:multiLevelType w:val="hybridMultilevel"/>
    <w:tmpl w:val="8BDA9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9134E7"/>
    <w:multiLevelType w:val="multilevel"/>
    <w:tmpl w:val="9164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D8"/>
    <w:rsid w:val="00041D54"/>
    <w:rsid w:val="0006153F"/>
    <w:rsid w:val="00184F30"/>
    <w:rsid w:val="001D1BCC"/>
    <w:rsid w:val="00236583"/>
    <w:rsid w:val="00253BB7"/>
    <w:rsid w:val="002839EB"/>
    <w:rsid w:val="00285CB1"/>
    <w:rsid w:val="002D478B"/>
    <w:rsid w:val="0030590F"/>
    <w:rsid w:val="00335A92"/>
    <w:rsid w:val="00394AFC"/>
    <w:rsid w:val="003E1907"/>
    <w:rsid w:val="003E453D"/>
    <w:rsid w:val="003F4D68"/>
    <w:rsid w:val="0045181C"/>
    <w:rsid w:val="004524DE"/>
    <w:rsid w:val="004547C2"/>
    <w:rsid w:val="004946D8"/>
    <w:rsid w:val="00610A82"/>
    <w:rsid w:val="00611083"/>
    <w:rsid w:val="00647617"/>
    <w:rsid w:val="006D55D3"/>
    <w:rsid w:val="00764BC7"/>
    <w:rsid w:val="00796487"/>
    <w:rsid w:val="00807EC2"/>
    <w:rsid w:val="008A1C99"/>
    <w:rsid w:val="008E3501"/>
    <w:rsid w:val="00937390"/>
    <w:rsid w:val="00952974"/>
    <w:rsid w:val="00966C9B"/>
    <w:rsid w:val="009B155B"/>
    <w:rsid w:val="009E5EDE"/>
    <w:rsid w:val="009E7917"/>
    <w:rsid w:val="00A36465"/>
    <w:rsid w:val="00A455A8"/>
    <w:rsid w:val="00A763A8"/>
    <w:rsid w:val="00AC5771"/>
    <w:rsid w:val="00AD2752"/>
    <w:rsid w:val="00C20475"/>
    <w:rsid w:val="00C32369"/>
    <w:rsid w:val="00C74850"/>
    <w:rsid w:val="00C75745"/>
    <w:rsid w:val="00CC5E9C"/>
    <w:rsid w:val="00D006E5"/>
    <w:rsid w:val="00D078AA"/>
    <w:rsid w:val="00D145ED"/>
    <w:rsid w:val="00D417A1"/>
    <w:rsid w:val="00D560B0"/>
    <w:rsid w:val="00E1114A"/>
    <w:rsid w:val="00E626CA"/>
    <w:rsid w:val="00E637C2"/>
    <w:rsid w:val="00E747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A51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46D8"/>
    <w:pPr>
      <w:spacing w:before="100" w:beforeAutospacing="1" w:after="100" w:afterAutospacing="1"/>
    </w:pPr>
    <w:rPr>
      <w:rFonts w:ascii="Times" w:hAnsi="Times" w:cs="Times New Roman"/>
      <w:sz w:val="20"/>
      <w:szCs w:val="20"/>
    </w:rPr>
  </w:style>
  <w:style w:type="paragraph" w:styleId="Corpsdetexte">
    <w:name w:val="Body Text"/>
    <w:basedOn w:val="Normal"/>
    <w:link w:val="CorpsdetexteCar"/>
    <w:rsid w:val="006D55D3"/>
    <w:pPr>
      <w:widowControl w:val="0"/>
      <w:suppressAutoHyphens/>
      <w:spacing w:after="79" w:line="100" w:lineRule="atLeast"/>
      <w:jc w:val="both"/>
      <w:textAlignment w:val="baseline"/>
    </w:pPr>
    <w:rPr>
      <w:rFonts w:ascii="Linux Libertine" w:eastAsia="Arial Unicode MS" w:hAnsi="Linux Libertine" w:cs="Arial"/>
      <w:kern w:val="1"/>
      <w:lang w:eastAsia="zh-CN" w:bidi="hi-IN"/>
    </w:rPr>
  </w:style>
  <w:style w:type="character" w:customStyle="1" w:styleId="CorpsdetexteCar">
    <w:name w:val="Corps de texte Car"/>
    <w:basedOn w:val="Policepardfaut"/>
    <w:link w:val="Corpsdetexte"/>
    <w:rsid w:val="006D55D3"/>
    <w:rPr>
      <w:rFonts w:ascii="Linux Libertine" w:eastAsia="Arial Unicode MS" w:hAnsi="Linux Libertine" w:cs="Arial"/>
      <w:kern w:val="1"/>
      <w:lang w:val="fr-FR" w:eastAsia="zh-CN" w:bidi="hi-IN"/>
    </w:rPr>
  </w:style>
  <w:style w:type="paragraph" w:styleId="Paragraphedeliste">
    <w:name w:val="List Paragraph"/>
    <w:basedOn w:val="Normal"/>
    <w:uiPriority w:val="34"/>
    <w:qFormat/>
    <w:rsid w:val="00394AFC"/>
    <w:pPr>
      <w:ind w:left="720"/>
      <w:contextualSpacing/>
    </w:pPr>
  </w:style>
  <w:style w:type="character" w:styleId="Lienhypertexte">
    <w:name w:val="Hyperlink"/>
    <w:basedOn w:val="Policepardfaut"/>
    <w:uiPriority w:val="99"/>
    <w:unhideWhenUsed/>
    <w:rsid w:val="00796487"/>
    <w:rPr>
      <w:color w:val="0000FF" w:themeColor="hyperlink"/>
      <w:u w:val="single"/>
    </w:rPr>
  </w:style>
  <w:style w:type="character" w:styleId="Lienhypertextesuivi">
    <w:name w:val="FollowedHyperlink"/>
    <w:basedOn w:val="Policepardfaut"/>
    <w:uiPriority w:val="99"/>
    <w:semiHidden/>
    <w:unhideWhenUsed/>
    <w:rsid w:val="00764BC7"/>
    <w:rPr>
      <w:color w:val="800080" w:themeColor="followedHyperlink"/>
      <w:u w:val="single"/>
    </w:rPr>
  </w:style>
  <w:style w:type="paragraph" w:styleId="Notedebasdepage">
    <w:name w:val="footnote text"/>
    <w:basedOn w:val="Normal"/>
    <w:link w:val="NotedebasdepageCar"/>
    <w:uiPriority w:val="99"/>
    <w:unhideWhenUsed/>
    <w:rsid w:val="00184F30"/>
  </w:style>
  <w:style w:type="character" w:customStyle="1" w:styleId="NotedebasdepageCar">
    <w:name w:val="Note de bas de page Car"/>
    <w:basedOn w:val="Policepardfaut"/>
    <w:link w:val="Notedebasdepage"/>
    <w:uiPriority w:val="99"/>
    <w:rsid w:val="00184F30"/>
    <w:rPr>
      <w:lang w:val="fr-FR"/>
    </w:rPr>
  </w:style>
  <w:style w:type="character" w:styleId="Marquenotebasdepage">
    <w:name w:val="footnote reference"/>
    <w:basedOn w:val="Policepardfaut"/>
    <w:uiPriority w:val="99"/>
    <w:unhideWhenUsed/>
    <w:rsid w:val="00184F30"/>
    <w:rPr>
      <w:vertAlign w:val="superscript"/>
    </w:rPr>
  </w:style>
  <w:style w:type="paragraph" w:styleId="Pieddepage">
    <w:name w:val="footer"/>
    <w:basedOn w:val="Normal"/>
    <w:link w:val="PieddepageCar"/>
    <w:uiPriority w:val="99"/>
    <w:unhideWhenUsed/>
    <w:rsid w:val="004524DE"/>
    <w:pPr>
      <w:tabs>
        <w:tab w:val="center" w:pos="4536"/>
        <w:tab w:val="right" w:pos="9072"/>
      </w:tabs>
    </w:pPr>
  </w:style>
  <w:style w:type="character" w:customStyle="1" w:styleId="PieddepageCar">
    <w:name w:val="Pied de page Car"/>
    <w:basedOn w:val="Policepardfaut"/>
    <w:link w:val="Pieddepage"/>
    <w:uiPriority w:val="99"/>
    <w:rsid w:val="004524DE"/>
    <w:rPr>
      <w:lang w:val="fr-FR"/>
    </w:rPr>
  </w:style>
  <w:style w:type="character" w:styleId="Numrodepage">
    <w:name w:val="page number"/>
    <w:basedOn w:val="Policepardfaut"/>
    <w:uiPriority w:val="99"/>
    <w:semiHidden/>
    <w:unhideWhenUsed/>
    <w:rsid w:val="004524DE"/>
  </w:style>
  <w:style w:type="paragraph" w:styleId="En-tte">
    <w:name w:val="header"/>
    <w:basedOn w:val="Normal"/>
    <w:link w:val="En-tteCar"/>
    <w:uiPriority w:val="99"/>
    <w:unhideWhenUsed/>
    <w:rsid w:val="004524DE"/>
    <w:pPr>
      <w:tabs>
        <w:tab w:val="center" w:pos="4536"/>
        <w:tab w:val="right" w:pos="9072"/>
      </w:tabs>
    </w:pPr>
  </w:style>
  <w:style w:type="character" w:customStyle="1" w:styleId="En-tteCar">
    <w:name w:val="En-tête Car"/>
    <w:basedOn w:val="Policepardfaut"/>
    <w:link w:val="En-tte"/>
    <w:uiPriority w:val="99"/>
    <w:rsid w:val="004524DE"/>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946D8"/>
    <w:pPr>
      <w:spacing w:before="100" w:beforeAutospacing="1" w:after="100" w:afterAutospacing="1"/>
    </w:pPr>
    <w:rPr>
      <w:rFonts w:ascii="Times" w:hAnsi="Times" w:cs="Times New Roman"/>
      <w:sz w:val="20"/>
      <w:szCs w:val="20"/>
    </w:rPr>
  </w:style>
  <w:style w:type="paragraph" w:styleId="Corpsdetexte">
    <w:name w:val="Body Text"/>
    <w:basedOn w:val="Normal"/>
    <w:link w:val="CorpsdetexteCar"/>
    <w:rsid w:val="006D55D3"/>
    <w:pPr>
      <w:widowControl w:val="0"/>
      <w:suppressAutoHyphens/>
      <w:spacing w:after="79" w:line="100" w:lineRule="atLeast"/>
      <w:jc w:val="both"/>
      <w:textAlignment w:val="baseline"/>
    </w:pPr>
    <w:rPr>
      <w:rFonts w:ascii="Linux Libertine" w:eastAsia="Arial Unicode MS" w:hAnsi="Linux Libertine" w:cs="Arial"/>
      <w:kern w:val="1"/>
      <w:lang w:eastAsia="zh-CN" w:bidi="hi-IN"/>
    </w:rPr>
  </w:style>
  <w:style w:type="character" w:customStyle="1" w:styleId="CorpsdetexteCar">
    <w:name w:val="Corps de texte Car"/>
    <w:basedOn w:val="Policepardfaut"/>
    <w:link w:val="Corpsdetexte"/>
    <w:rsid w:val="006D55D3"/>
    <w:rPr>
      <w:rFonts w:ascii="Linux Libertine" w:eastAsia="Arial Unicode MS" w:hAnsi="Linux Libertine" w:cs="Arial"/>
      <w:kern w:val="1"/>
      <w:lang w:val="fr-FR" w:eastAsia="zh-CN" w:bidi="hi-IN"/>
    </w:rPr>
  </w:style>
  <w:style w:type="paragraph" w:styleId="Paragraphedeliste">
    <w:name w:val="List Paragraph"/>
    <w:basedOn w:val="Normal"/>
    <w:uiPriority w:val="34"/>
    <w:qFormat/>
    <w:rsid w:val="00394AFC"/>
    <w:pPr>
      <w:ind w:left="720"/>
      <w:contextualSpacing/>
    </w:pPr>
  </w:style>
  <w:style w:type="character" w:styleId="Lienhypertexte">
    <w:name w:val="Hyperlink"/>
    <w:basedOn w:val="Policepardfaut"/>
    <w:uiPriority w:val="99"/>
    <w:unhideWhenUsed/>
    <w:rsid w:val="00796487"/>
    <w:rPr>
      <w:color w:val="0000FF" w:themeColor="hyperlink"/>
      <w:u w:val="single"/>
    </w:rPr>
  </w:style>
  <w:style w:type="character" w:styleId="Lienhypertextesuivi">
    <w:name w:val="FollowedHyperlink"/>
    <w:basedOn w:val="Policepardfaut"/>
    <w:uiPriority w:val="99"/>
    <w:semiHidden/>
    <w:unhideWhenUsed/>
    <w:rsid w:val="00764BC7"/>
    <w:rPr>
      <w:color w:val="800080" w:themeColor="followedHyperlink"/>
      <w:u w:val="single"/>
    </w:rPr>
  </w:style>
  <w:style w:type="paragraph" w:styleId="Notedebasdepage">
    <w:name w:val="footnote text"/>
    <w:basedOn w:val="Normal"/>
    <w:link w:val="NotedebasdepageCar"/>
    <w:uiPriority w:val="99"/>
    <w:unhideWhenUsed/>
    <w:rsid w:val="00184F30"/>
  </w:style>
  <w:style w:type="character" w:customStyle="1" w:styleId="NotedebasdepageCar">
    <w:name w:val="Note de bas de page Car"/>
    <w:basedOn w:val="Policepardfaut"/>
    <w:link w:val="Notedebasdepage"/>
    <w:uiPriority w:val="99"/>
    <w:rsid w:val="00184F30"/>
    <w:rPr>
      <w:lang w:val="fr-FR"/>
    </w:rPr>
  </w:style>
  <w:style w:type="character" w:styleId="Marquenotebasdepage">
    <w:name w:val="footnote reference"/>
    <w:basedOn w:val="Policepardfaut"/>
    <w:uiPriority w:val="99"/>
    <w:unhideWhenUsed/>
    <w:rsid w:val="00184F30"/>
    <w:rPr>
      <w:vertAlign w:val="superscript"/>
    </w:rPr>
  </w:style>
  <w:style w:type="paragraph" w:styleId="Pieddepage">
    <w:name w:val="footer"/>
    <w:basedOn w:val="Normal"/>
    <w:link w:val="PieddepageCar"/>
    <w:uiPriority w:val="99"/>
    <w:unhideWhenUsed/>
    <w:rsid w:val="004524DE"/>
    <w:pPr>
      <w:tabs>
        <w:tab w:val="center" w:pos="4536"/>
        <w:tab w:val="right" w:pos="9072"/>
      </w:tabs>
    </w:pPr>
  </w:style>
  <w:style w:type="character" w:customStyle="1" w:styleId="PieddepageCar">
    <w:name w:val="Pied de page Car"/>
    <w:basedOn w:val="Policepardfaut"/>
    <w:link w:val="Pieddepage"/>
    <w:uiPriority w:val="99"/>
    <w:rsid w:val="004524DE"/>
    <w:rPr>
      <w:lang w:val="fr-FR"/>
    </w:rPr>
  </w:style>
  <w:style w:type="character" w:styleId="Numrodepage">
    <w:name w:val="page number"/>
    <w:basedOn w:val="Policepardfaut"/>
    <w:uiPriority w:val="99"/>
    <w:semiHidden/>
    <w:unhideWhenUsed/>
    <w:rsid w:val="004524DE"/>
  </w:style>
  <w:style w:type="paragraph" w:styleId="En-tte">
    <w:name w:val="header"/>
    <w:basedOn w:val="Normal"/>
    <w:link w:val="En-tteCar"/>
    <w:uiPriority w:val="99"/>
    <w:unhideWhenUsed/>
    <w:rsid w:val="004524DE"/>
    <w:pPr>
      <w:tabs>
        <w:tab w:val="center" w:pos="4536"/>
        <w:tab w:val="right" w:pos="9072"/>
      </w:tabs>
    </w:pPr>
  </w:style>
  <w:style w:type="character" w:customStyle="1" w:styleId="En-tteCar">
    <w:name w:val="En-tête Car"/>
    <w:basedOn w:val="Policepardfaut"/>
    <w:link w:val="En-tte"/>
    <w:uiPriority w:val="99"/>
    <w:rsid w:val="004524D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832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ducmath.ens-lyon.fr/Educmath/manifestations/dossier-manifestations/conference-national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springer.com/education+%26+language/mathematics+education/book/978-0-7923-7191-5?otherVersion=978-0-306-47231-2" TargetMode="External"/><Relationship Id="rId11" Type="http://schemas.openxmlformats.org/officeDocument/2006/relationships/hyperlink" Target="http://www.circeft.org/?-accueil-escol-" TargetMode="External"/><Relationship Id="rId12" Type="http://schemas.openxmlformats.org/officeDocument/2006/relationships/hyperlink" Target="http://www.univ-irem.fr/spip.php?rubrique22" TargetMode="External"/><Relationship Id="rId13" Type="http://schemas.openxmlformats.org/officeDocument/2006/relationships/hyperlink" Target="http://www2.ed.gov/nclb/landing.jhtml" TargetMode="External"/><Relationship Id="rId14" Type="http://schemas.openxmlformats.org/officeDocument/2006/relationships/hyperlink" Target="http://www.primas-project.eu/servlet/supportBinaryFiles?referenceId=11&amp;supportId=1247" TargetMode="External"/><Relationship Id="rId15" Type="http://schemas.openxmlformats.org/officeDocument/2006/relationships/hyperlink" Target="http://www.cfem.asso.fr/publications/fibonacci_2013" TargetMode="External"/><Relationship Id="rId16" Type="http://schemas.openxmlformats.org/officeDocument/2006/relationships/hyperlink" Target="http://mclcm.free.fr" TargetMode="External"/><Relationship Id="rId17" Type="http://schemas.openxmlformats.org/officeDocument/2006/relationships/hyperlink" Target="http://www.cfem.asso.fr/liaison-cfem/lettre-cfem-decembre2013" TargetMode="External"/><Relationship Id="rId18" Type="http://schemas.openxmlformats.org/officeDocument/2006/relationships/hyperlink" Target="http://blog.kleinproject.org/" TargetMode="Externa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actualites/comment_deteste_mat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pmep.asso.fr/Mathematiques-actuelles-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2525</Words>
  <Characters>13888</Characters>
  <Application>Microsoft Macintosh Word</Application>
  <DocSecurity>0</DocSecurity>
  <Lines>115</Lines>
  <Paragraphs>32</Paragraphs>
  <ScaleCrop>false</ScaleCrop>
  <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Artigue</dc:creator>
  <cp:keywords/>
  <dc:description/>
  <cp:lastModifiedBy>Luc TROUCHE</cp:lastModifiedBy>
  <cp:revision>2</cp:revision>
  <dcterms:created xsi:type="dcterms:W3CDTF">2013-12-06T19:36:00Z</dcterms:created>
  <dcterms:modified xsi:type="dcterms:W3CDTF">2013-12-06T19:36:00Z</dcterms:modified>
</cp:coreProperties>
</file>